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55D4C" w14:textId="77777777" w:rsidR="00626568" w:rsidRDefault="00626568">
      <w:pPr>
        <w:jc w:val="center"/>
        <w:rPr>
          <w:b/>
        </w:rPr>
      </w:pPr>
    </w:p>
    <w:p w14:paraId="279B7AFA" w14:textId="37206D74" w:rsidR="002E0862" w:rsidRDefault="00FC39DA">
      <w:pPr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1824" behindDoc="0" locked="0" layoutInCell="1" allowOverlap="1" wp14:anchorId="387BC920" wp14:editId="291135DD">
            <wp:simplePos x="0" y="0"/>
            <wp:positionH relativeFrom="margin">
              <wp:posOffset>1077413</wp:posOffset>
            </wp:positionH>
            <wp:positionV relativeFrom="margin">
              <wp:posOffset>-862149</wp:posOffset>
            </wp:positionV>
            <wp:extent cx="3482340" cy="1160780"/>
            <wp:effectExtent l="0" t="0" r="3810" b="1270"/>
            <wp:wrapThrough wrapText="bothSides">
              <wp:wrapPolygon edited="0">
                <wp:start x="0" y="0"/>
                <wp:lineTo x="0" y="21269"/>
                <wp:lineTo x="21505" y="21269"/>
                <wp:lineTo x="21505" y="0"/>
                <wp:lineTo x="0" y="0"/>
              </wp:wrapPolygon>
            </wp:wrapThrough>
            <wp:docPr id="161422242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222427" name="Grafik 161422242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82340" cy="116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F1D71F" w14:textId="1DFA829B" w:rsidR="00626568" w:rsidRPr="00626568" w:rsidRDefault="00626568" w:rsidP="00626568">
      <w:pPr>
        <w:spacing w:after="240"/>
        <w:jc w:val="center"/>
        <w:rPr>
          <w:b/>
          <w:sz w:val="34"/>
          <w:szCs w:val="34"/>
          <w:lang w:val="de-AT"/>
        </w:rPr>
      </w:pPr>
      <w:r w:rsidRPr="00626568">
        <w:rPr>
          <w:b/>
          <w:sz w:val="34"/>
          <w:szCs w:val="34"/>
          <w:lang w:val="de-AT"/>
        </w:rPr>
        <w:t>Informationsblatt zum Projekt</w:t>
      </w:r>
    </w:p>
    <w:p w14:paraId="0856C0FA" w14:textId="68536EAB" w:rsidR="001748EA" w:rsidRPr="00626568" w:rsidRDefault="00626568" w:rsidP="00626568">
      <w:pPr>
        <w:spacing w:after="240"/>
        <w:jc w:val="center"/>
        <w:rPr>
          <w:b/>
          <w:sz w:val="34"/>
          <w:szCs w:val="34"/>
          <w:lang w:val="de-AT"/>
        </w:rPr>
      </w:pPr>
      <w:r w:rsidRPr="00626568">
        <w:rPr>
          <w:b/>
          <w:sz w:val="34"/>
          <w:szCs w:val="34"/>
          <w:lang w:val="de-AT"/>
        </w:rPr>
        <w:t>„100 Jahre Österreichische Liga für Menschenrechte“</w:t>
      </w:r>
    </w:p>
    <w:p w14:paraId="0847A343" w14:textId="3F568C18" w:rsidR="00FC39DA" w:rsidRPr="007D033E" w:rsidRDefault="00FC39DA" w:rsidP="004768A3">
      <w:pPr>
        <w:rPr>
          <w:i/>
          <w:iCs/>
          <w:lang w:val="de-AT"/>
        </w:rPr>
      </w:pPr>
    </w:p>
    <w:p w14:paraId="0515FCBF" w14:textId="76494471" w:rsidR="00FC39DA" w:rsidRPr="00626568" w:rsidRDefault="00D53AFB" w:rsidP="009B4E51">
      <w:pPr>
        <w:spacing w:after="120"/>
        <w:rPr>
          <w:lang w:val="de-AT"/>
        </w:rPr>
      </w:pPr>
      <w:r w:rsidRPr="007D033E">
        <w:rPr>
          <w:i/>
          <w:iCs/>
          <w:noProof/>
        </w:rPr>
        <w:drawing>
          <wp:anchor distT="0" distB="0" distL="114300" distR="114300" simplePos="0" relativeHeight="251660799" behindDoc="1" locked="0" layoutInCell="1" allowOverlap="1" wp14:anchorId="08BE8B50" wp14:editId="2D678520">
            <wp:simplePos x="0" y="0"/>
            <wp:positionH relativeFrom="column">
              <wp:posOffset>2294544</wp:posOffset>
            </wp:positionH>
            <wp:positionV relativeFrom="paragraph">
              <wp:posOffset>14374</wp:posOffset>
            </wp:positionV>
            <wp:extent cx="5486400" cy="8568000"/>
            <wp:effectExtent l="0" t="0" r="0" b="508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5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568">
        <w:rPr>
          <w:b/>
          <w:color w:val="365F91" w:themeColor="accent1" w:themeShade="BF"/>
          <w:sz w:val="24"/>
          <w:lang w:val="de-AT"/>
        </w:rPr>
        <w:t xml:space="preserve">Projektleitung </w:t>
      </w:r>
      <w:r w:rsidR="008C25B4">
        <w:rPr>
          <w:b/>
          <w:color w:val="365F91" w:themeColor="accent1" w:themeShade="BF"/>
          <w:sz w:val="24"/>
          <w:lang w:val="de-AT"/>
        </w:rPr>
        <w:t xml:space="preserve">  </w:t>
      </w:r>
      <w:r w:rsidR="00626568">
        <w:rPr>
          <w:b/>
          <w:bCs/>
          <w:lang w:val="de-AT"/>
        </w:rPr>
        <w:t xml:space="preserve">Christopher Treiblmayr </w:t>
      </w:r>
      <w:r w:rsidR="008C25B4">
        <w:rPr>
          <w:b/>
          <w:bCs/>
          <w:lang w:val="de-AT"/>
        </w:rPr>
        <w:t xml:space="preserve">  </w:t>
      </w:r>
      <w:r w:rsidR="00626568" w:rsidRPr="008C25B4">
        <w:rPr>
          <w:i/>
          <w:iCs/>
          <w:lang w:val="de-AT"/>
        </w:rPr>
        <w:t>christopher.treiblmayr@univie.ac.at</w:t>
      </w:r>
    </w:p>
    <w:p w14:paraId="5B6B3BF5" w14:textId="225FC726" w:rsidR="00FC39DA" w:rsidRDefault="00626568" w:rsidP="009B4E51">
      <w:pPr>
        <w:spacing w:after="120"/>
        <w:rPr>
          <w:b/>
          <w:bCs/>
          <w:lang w:val="de-AT"/>
        </w:rPr>
      </w:pPr>
      <w:r>
        <w:rPr>
          <w:b/>
          <w:color w:val="365F91" w:themeColor="accent1" w:themeShade="BF"/>
          <w:sz w:val="24"/>
          <w:lang w:val="de-AT"/>
        </w:rPr>
        <w:t xml:space="preserve">Koordination </w:t>
      </w:r>
      <w:r w:rsidR="008C25B4">
        <w:rPr>
          <w:b/>
          <w:color w:val="365F91" w:themeColor="accent1" w:themeShade="BF"/>
          <w:sz w:val="24"/>
          <w:lang w:val="de-AT"/>
        </w:rPr>
        <w:t xml:space="preserve">  </w:t>
      </w:r>
      <w:r>
        <w:rPr>
          <w:b/>
          <w:bCs/>
          <w:lang w:val="de-AT"/>
        </w:rPr>
        <w:t xml:space="preserve">Angelika Watzl, </w:t>
      </w:r>
      <w:r w:rsidR="00FC39DA">
        <w:rPr>
          <w:b/>
          <w:bCs/>
          <w:lang w:val="de-AT"/>
        </w:rPr>
        <w:t>Barbara Helige</w:t>
      </w:r>
    </w:p>
    <w:p w14:paraId="5E4A6B1F" w14:textId="025911D2" w:rsidR="00626568" w:rsidRPr="00FC39DA" w:rsidRDefault="00626568" w:rsidP="009B4E51">
      <w:pPr>
        <w:spacing w:after="0"/>
        <w:rPr>
          <w:bCs/>
          <w:lang w:val="de-AT"/>
        </w:rPr>
      </w:pPr>
      <w:r>
        <w:rPr>
          <w:b/>
          <w:color w:val="365F91" w:themeColor="accent1" w:themeShade="BF"/>
          <w:sz w:val="24"/>
          <w:lang w:val="de-AT"/>
        </w:rPr>
        <w:t xml:space="preserve">Wissenschaftliche Beratung </w:t>
      </w:r>
      <w:r w:rsidR="008C25B4">
        <w:rPr>
          <w:b/>
          <w:color w:val="365F91" w:themeColor="accent1" w:themeShade="BF"/>
          <w:sz w:val="24"/>
          <w:lang w:val="de-AT"/>
        </w:rPr>
        <w:t xml:space="preserve">  </w:t>
      </w:r>
      <w:r>
        <w:rPr>
          <w:b/>
          <w:bCs/>
          <w:lang w:val="de-AT"/>
        </w:rPr>
        <w:t>Wolfgang Schmale</w:t>
      </w:r>
    </w:p>
    <w:p w14:paraId="16711A4F" w14:textId="452A4415" w:rsidR="00FC39DA" w:rsidRPr="00FC39DA" w:rsidRDefault="00FC39DA" w:rsidP="00FC39DA">
      <w:pPr>
        <w:rPr>
          <w:b/>
          <w:color w:val="365F91" w:themeColor="accent1" w:themeShade="BF"/>
          <w:sz w:val="24"/>
          <w:lang w:val="de-AT"/>
        </w:rPr>
      </w:pPr>
    </w:p>
    <w:p w14:paraId="63AE4BAD" w14:textId="56731294" w:rsidR="00EC7D03" w:rsidRDefault="008C25B4" w:rsidP="00B20034">
      <w:pPr>
        <w:rPr>
          <w:lang w:val="de-AT"/>
        </w:rPr>
      </w:pPr>
      <w:r w:rsidRPr="002605D4">
        <w:rPr>
          <w:lang w:val="de-AT"/>
        </w:rPr>
        <w:t xml:space="preserve">Die </w:t>
      </w:r>
      <w:r w:rsidR="00B20034" w:rsidRPr="002605D4">
        <w:rPr>
          <w:lang w:val="de-AT"/>
        </w:rPr>
        <w:t>Österreichische Liga für Menschenrechte nimmt ihr 100-jähriges Gründungs</w:t>
      </w:r>
      <w:r w:rsidR="000915FC">
        <w:rPr>
          <w:lang w:val="de-AT"/>
        </w:rPr>
        <w:softHyphen/>
      </w:r>
      <w:r w:rsidR="00B20034" w:rsidRPr="002605D4">
        <w:rPr>
          <w:lang w:val="de-AT"/>
        </w:rPr>
        <w:t>jubi</w:t>
      </w:r>
      <w:r w:rsidR="004768A3">
        <w:rPr>
          <w:lang w:val="de-AT"/>
        </w:rPr>
        <w:t>l</w:t>
      </w:r>
      <w:r w:rsidR="00B20034" w:rsidRPr="002605D4">
        <w:rPr>
          <w:lang w:val="de-AT"/>
        </w:rPr>
        <w:t>äum zum Anlass, ihre Geschichte weiter aufzuarbeiten</w:t>
      </w:r>
      <w:r w:rsidR="00112AB0">
        <w:rPr>
          <w:lang w:val="de-AT"/>
        </w:rPr>
        <w:t xml:space="preserve">. Aufbauend auf umfangreichen </w:t>
      </w:r>
      <w:r w:rsidR="00B20034" w:rsidRPr="002605D4">
        <w:rPr>
          <w:lang w:val="de-AT"/>
        </w:rPr>
        <w:t xml:space="preserve">Vorarbeiten </w:t>
      </w:r>
      <w:r w:rsidR="00112AB0">
        <w:rPr>
          <w:lang w:val="de-AT"/>
        </w:rPr>
        <w:t xml:space="preserve">– </w:t>
      </w:r>
      <w:r w:rsidR="0030553E">
        <w:rPr>
          <w:lang w:val="de-AT"/>
        </w:rPr>
        <w:t xml:space="preserve">darunter die </w:t>
      </w:r>
      <w:r w:rsidR="00B20034" w:rsidRPr="002605D4">
        <w:rPr>
          <w:lang w:val="de-AT"/>
        </w:rPr>
        <w:t xml:space="preserve">Rekonstruktion </w:t>
      </w:r>
      <w:r w:rsidR="0030553E">
        <w:rPr>
          <w:lang w:val="de-AT"/>
        </w:rPr>
        <w:t xml:space="preserve">von Teilen des </w:t>
      </w:r>
      <w:r w:rsidR="00B20034" w:rsidRPr="002605D4">
        <w:rPr>
          <w:lang w:val="de-AT"/>
        </w:rPr>
        <w:t>Vorkriegs</w:t>
      </w:r>
      <w:r w:rsidR="000915FC">
        <w:rPr>
          <w:lang w:val="de-AT"/>
        </w:rPr>
        <w:softHyphen/>
      </w:r>
      <w:r w:rsidR="00B20034" w:rsidRPr="002605D4">
        <w:rPr>
          <w:lang w:val="de-AT"/>
        </w:rPr>
        <w:t>archivs</w:t>
      </w:r>
      <w:r w:rsidR="00112AB0">
        <w:rPr>
          <w:lang w:val="de-AT"/>
        </w:rPr>
        <w:t xml:space="preserve"> sowie </w:t>
      </w:r>
      <w:r w:rsidR="0030553E">
        <w:rPr>
          <w:lang w:val="de-AT"/>
        </w:rPr>
        <w:t xml:space="preserve">die </w:t>
      </w:r>
      <w:r w:rsidR="00112AB0">
        <w:rPr>
          <w:lang w:val="de-AT"/>
        </w:rPr>
        <w:t xml:space="preserve">Ordnung, Erschließung und </w:t>
      </w:r>
      <w:r w:rsidR="00B20034" w:rsidRPr="002605D4">
        <w:rPr>
          <w:lang w:val="de-AT"/>
        </w:rPr>
        <w:t xml:space="preserve">Öffnung des </w:t>
      </w:r>
      <w:r w:rsidR="00112AB0">
        <w:rPr>
          <w:lang w:val="de-AT"/>
        </w:rPr>
        <w:t xml:space="preserve">Nachkriegsarchivs </w:t>
      </w:r>
      <w:r w:rsidR="00B20034" w:rsidRPr="002605D4">
        <w:rPr>
          <w:lang w:val="de-AT"/>
        </w:rPr>
        <w:t>bei Qwien</w:t>
      </w:r>
      <w:r w:rsidR="000915FC">
        <w:rPr>
          <w:lang w:val="de-AT"/>
        </w:rPr>
        <w:t xml:space="preserve"> –</w:t>
      </w:r>
      <w:r w:rsidR="00112AB0">
        <w:rPr>
          <w:lang w:val="de-AT"/>
        </w:rPr>
        <w:t xml:space="preserve"> </w:t>
      </w:r>
      <w:r w:rsidR="00B20034" w:rsidRPr="002605D4">
        <w:rPr>
          <w:lang w:val="de-AT"/>
        </w:rPr>
        <w:t>Verein für queere Kultur und Geschichte</w:t>
      </w:r>
      <w:r w:rsidR="00112AB0">
        <w:rPr>
          <w:lang w:val="de-AT"/>
        </w:rPr>
        <w:t xml:space="preserve"> – verbindet das Projekt </w:t>
      </w:r>
      <w:r w:rsidR="004768A3">
        <w:rPr>
          <w:lang w:val="de-AT"/>
        </w:rPr>
        <w:t xml:space="preserve">historische </w:t>
      </w:r>
      <w:r w:rsidR="00B20034" w:rsidRPr="002605D4">
        <w:rPr>
          <w:lang w:val="de-AT"/>
        </w:rPr>
        <w:t>Forschung, gezielte Archiverweiterung und Vermittlung.</w:t>
      </w:r>
    </w:p>
    <w:p w14:paraId="20FD40F1" w14:textId="60F943A2" w:rsidR="00112AB0" w:rsidRDefault="00112AB0" w:rsidP="00B20034">
      <w:pPr>
        <w:rPr>
          <w:lang w:val="de-AT"/>
        </w:rPr>
      </w:pPr>
      <w:r>
        <w:rPr>
          <w:lang w:val="de-AT"/>
        </w:rPr>
        <w:t>Veranstaltungen und Formate im Jubiläumsjahr</w:t>
      </w:r>
    </w:p>
    <w:p w14:paraId="77DB1CFB" w14:textId="69395A39" w:rsidR="00112AB0" w:rsidRPr="004768A3" w:rsidRDefault="00112AB0" w:rsidP="004768A3">
      <w:pPr>
        <w:pStyle w:val="Listenabsatz"/>
        <w:numPr>
          <w:ilvl w:val="0"/>
          <w:numId w:val="10"/>
        </w:numPr>
        <w:rPr>
          <w:lang w:val="de-AT"/>
        </w:rPr>
      </w:pPr>
      <w:r w:rsidRPr="004768A3">
        <w:rPr>
          <w:lang w:val="de-AT"/>
        </w:rPr>
        <w:t>Festakt am 16. März 2026 (Gründungstag) an der Universität Wien</w:t>
      </w:r>
    </w:p>
    <w:p w14:paraId="6E7F9EE2" w14:textId="77777777" w:rsidR="004F0B1E" w:rsidRPr="004768A3" w:rsidRDefault="004F0B1E" w:rsidP="004F0B1E">
      <w:pPr>
        <w:pStyle w:val="Listenabsatz"/>
        <w:numPr>
          <w:ilvl w:val="0"/>
          <w:numId w:val="10"/>
        </w:numPr>
        <w:rPr>
          <w:lang w:val="de-AT"/>
        </w:rPr>
      </w:pPr>
      <w:r w:rsidRPr="004768A3">
        <w:rPr>
          <w:lang w:val="de-AT"/>
        </w:rPr>
        <w:t>Jubiläums-Sondernummer des Magazins „Liga“ mit einer historischen Artikelserie</w:t>
      </w:r>
    </w:p>
    <w:p w14:paraId="44AC2DDB" w14:textId="64B70FDE" w:rsidR="00112AB0" w:rsidRPr="004768A3" w:rsidRDefault="00112AB0" w:rsidP="004768A3">
      <w:pPr>
        <w:pStyle w:val="Listenabsatz"/>
        <w:numPr>
          <w:ilvl w:val="0"/>
          <w:numId w:val="10"/>
        </w:numPr>
        <w:rPr>
          <w:lang w:val="de-AT"/>
        </w:rPr>
      </w:pPr>
      <w:r w:rsidRPr="004768A3">
        <w:rPr>
          <w:lang w:val="de-AT"/>
        </w:rPr>
        <w:t>Ausstellung bei Qwien in der zweiten Jahreshälfte</w:t>
      </w:r>
      <w:r w:rsidR="00A36ED6">
        <w:rPr>
          <w:lang w:val="de-AT"/>
        </w:rPr>
        <w:t xml:space="preserve"> 2026</w:t>
      </w:r>
    </w:p>
    <w:p w14:paraId="6FD1D961" w14:textId="63DBA580" w:rsidR="00112AB0" w:rsidRPr="004768A3" w:rsidRDefault="00D53AFB" w:rsidP="009B4E51">
      <w:pPr>
        <w:pStyle w:val="Listenabsatz"/>
        <w:numPr>
          <w:ilvl w:val="0"/>
          <w:numId w:val="10"/>
        </w:numPr>
        <w:spacing w:after="360"/>
        <w:rPr>
          <w:lang w:val="de-AT"/>
        </w:rPr>
      </w:pPr>
      <w:r>
        <w:rPr>
          <w:lang w:val="de-AT"/>
        </w:rPr>
        <w:t>Details zu w</w:t>
      </w:r>
      <w:r w:rsidR="00112AB0" w:rsidRPr="004768A3">
        <w:rPr>
          <w:lang w:val="de-AT"/>
        </w:rPr>
        <w:t>eitere</w:t>
      </w:r>
      <w:r>
        <w:rPr>
          <w:lang w:val="de-AT"/>
        </w:rPr>
        <w:t>n</w:t>
      </w:r>
      <w:r w:rsidR="00112AB0" w:rsidRPr="004768A3">
        <w:rPr>
          <w:lang w:val="de-AT"/>
        </w:rPr>
        <w:t xml:space="preserve"> Programmpunkte</w:t>
      </w:r>
      <w:r>
        <w:rPr>
          <w:lang w:val="de-AT"/>
        </w:rPr>
        <w:t>n</w:t>
      </w:r>
      <w:r w:rsidR="0030553E">
        <w:rPr>
          <w:lang w:val="de-AT"/>
        </w:rPr>
        <w:t xml:space="preserve"> – </w:t>
      </w:r>
      <w:r w:rsidR="004768A3">
        <w:rPr>
          <w:lang w:val="de-AT"/>
        </w:rPr>
        <w:t xml:space="preserve">etwa </w:t>
      </w:r>
      <w:r>
        <w:rPr>
          <w:lang w:val="de-AT"/>
        </w:rPr>
        <w:t>dem</w:t>
      </w:r>
      <w:r w:rsidR="004F0B1E">
        <w:rPr>
          <w:lang w:val="de-AT"/>
        </w:rPr>
        <w:t xml:space="preserve"> Liga-Salon in Innsbruck am 21. April 2026, </w:t>
      </w:r>
      <w:r>
        <w:rPr>
          <w:lang w:val="de-AT"/>
        </w:rPr>
        <w:t>dem</w:t>
      </w:r>
      <w:r w:rsidR="004F0B1E">
        <w:rPr>
          <w:lang w:val="de-AT"/>
        </w:rPr>
        <w:t xml:space="preserve"> Festakt der Liga </w:t>
      </w:r>
      <w:r>
        <w:rPr>
          <w:lang w:val="de-AT"/>
        </w:rPr>
        <w:t xml:space="preserve">Landesstelle </w:t>
      </w:r>
      <w:r w:rsidR="004F0B1E">
        <w:rPr>
          <w:lang w:val="de-AT"/>
        </w:rPr>
        <w:t>Steiermark am 29. April 2026</w:t>
      </w:r>
      <w:r>
        <w:rPr>
          <w:lang w:val="de-AT"/>
        </w:rPr>
        <w:t xml:space="preserve"> sowie der Veranstaltung im Parlament am 19. Mai 2026</w:t>
      </w:r>
      <w:r w:rsidR="009B4E51">
        <w:rPr>
          <w:lang w:val="de-AT"/>
        </w:rPr>
        <w:t xml:space="preserve"> </w:t>
      </w:r>
      <w:r w:rsidR="004D704D">
        <w:rPr>
          <w:lang w:val="de-AT"/>
        </w:rPr>
        <w:t>–</w:t>
      </w:r>
      <w:r w:rsidR="009B4E51">
        <w:rPr>
          <w:lang w:val="de-AT"/>
        </w:rPr>
        <w:t xml:space="preserve"> werden</w:t>
      </w:r>
      <w:r w:rsidR="00112AB0" w:rsidRPr="004768A3">
        <w:rPr>
          <w:lang w:val="de-AT"/>
        </w:rPr>
        <w:t xml:space="preserve"> laufend auf </w:t>
      </w:r>
      <w:hyperlink r:id="rId10" w:history="1">
        <w:r w:rsidR="00112AB0" w:rsidRPr="004768A3">
          <w:rPr>
            <w:rStyle w:val="Hyperlink"/>
            <w:lang w:val="de-AT"/>
          </w:rPr>
          <w:t>www.liga.or.at</w:t>
        </w:r>
      </w:hyperlink>
      <w:r w:rsidR="00112AB0" w:rsidRPr="004768A3">
        <w:rPr>
          <w:lang w:val="de-AT"/>
        </w:rPr>
        <w:t xml:space="preserve"> bekanntgegeben.</w:t>
      </w:r>
    </w:p>
    <w:p w14:paraId="4950194E" w14:textId="70BBB7BE" w:rsidR="00B20034" w:rsidRDefault="00B20034" w:rsidP="00B20034">
      <w:pPr>
        <w:rPr>
          <w:i/>
          <w:iCs/>
          <w:lang w:val="de-AT"/>
        </w:rPr>
      </w:pPr>
      <w:r w:rsidRPr="002605D4">
        <w:rPr>
          <w:lang w:val="de-AT"/>
        </w:rPr>
        <w:t xml:space="preserve">Sie finden auf der Rückseite </w:t>
      </w:r>
      <w:r w:rsidR="00577FE7">
        <w:rPr>
          <w:lang w:val="de-AT"/>
        </w:rPr>
        <w:t>Hin</w:t>
      </w:r>
      <w:r w:rsidRPr="002605D4">
        <w:rPr>
          <w:lang w:val="de-AT"/>
        </w:rPr>
        <w:t xml:space="preserve">weise </w:t>
      </w:r>
      <w:r w:rsidR="00BD3284" w:rsidRPr="002605D4">
        <w:rPr>
          <w:lang w:val="de-AT"/>
        </w:rPr>
        <w:t>auf Vorarbeiten und Literatur. Wir danken den Fördergebern und allen, die seit Jahren forschen und sammeln – in der Liga und außerhalb. Hinweise, Dokumente und Erinnerungen sind w</w:t>
      </w:r>
      <w:r w:rsidR="004768A3">
        <w:rPr>
          <w:lang w:val="de-AT"/>
        </w:rPr>
        <w:t>i</w:t>
      </w:r>
      <w:r w:rsidR="00BD3284" w:rsidRPr="002605D4">
        <w:rPr>
          <w:lang w:val="de-AT"/>
        </w:rPr>
        <w:t xml:space="preserve">llkommen: </w:t>
      </w:r>
      <w:hyperlink r:id="rId11" w:history="1">
        <w:r w:rsidR="00D53AFB" w:rsidRPr="00681B7E">
          <w:rPr>
            <w:rStyle w:val="Hyperlink"/>
            <w:i/>
            <w:iCs/>
            <w:lang w:val="de-AT"/>
          </w:rPr>
          <w:t>office@liga.or.at</w:t>
        </w:r>
      </w:hyperlink>
    </w:p>
    <w:p w14:paraId="2FD6DC70" w14:textId="39692F4E" w:rsidR="00B20034" w:rsidRPr="00FE296F" w:rsidRDefault="002605D4" w:rsidP="008C25B4">
      <w:pPr>
        <w:rPr>
          <w:lang w:val="de-AT"/>
        </w:rPr>
      </w:pPr>
      <w:r>
        <w:rPr>
          <w:lang w:val="de-AT"/>
        </w:rPr>
        <w:t>Weitere Informationen</w:t>
      </w:r>
      <w:r w:rsidR="00D53AFB">
        <w:rPr>
          <w:lang w:val="de-AT"/>
        </w:rPr>
        <w:t xml:space="preserve"> zur Geschichte der Liga</w:t>
      </w:r>
      <w:r>
        <w:rPr>
          <w:lang w:val="de-AT"/>
        </w:rPr>
        <w:t>:</w:t>
      </w:r>
      <w:r w:rsidR="005B7BD8" w:rsidRPr="005B7BD8">
        <w:rPr>
          <w:b/>
          <w:bCs/>
          <w:noProof/>
          <w:lang w:val="de-AT"/>
        </w:rPr>
        <w:t xml:space="preserve"> </w:t>
      </w:r>
      <w:hyperlink r:id="rId12" w:history="1">
        <w:r w:rsidR="00681B79" w:rsidRPr="00681B79">
          <w:rPr>
            <w:rStyle w:val="Hyperlink"/>
            <w:noProof/>
            <w:lang w:val="de-AT"/>
          </w:rPr>
          <w:t>http://www.liga.or.at/geschichte</w:t>
        </w:r>
      </w:hyperlink>
    </w:p>
    <w:p w14:paraId="58CF3FB9" w14:textId="142AAF6B" w:rsidR="005B7BD8" w:rsidRDefault="00D53AFB">
      <w:pPr>
        <w:spacing w:after="360"/>
        <w:rPr>
          <w:b/>
          <w:bCs/>
          <w:lang w:val="de-AT"/>
        </w:rPr>
      </w:pPr>
      <w:r>
        <w:rPr>
          <w:b/>
          <w:bCs/>
          <w:noProof/>
          <w:lang w:val="de-AT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12377F4" wp14:editId="6AA260EB">
                <wp:simplePos x="0" y="0"/>
                <wp:positionH relativeFrom="margin">
                  <wp:posOffset>-882015</wp:posOffset>
                </wp:positionH>
                <wp:positionV relativeFrom="paragraph">
                  <wp:posOffset>779780</wp:posOffset>
                </wp:positionV>
                <wp:extent cx="7147560" cy="741045"/>
                <wp:effectExtent l="0" t="0" r="0" b="0"/>
                <wp:wrapNone/>
                <wp:docPr id="1244680205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7560" cy="741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191716" w14:textId="2B9E6B42" w:rsidR="000A10F5" w:rsidRPr="00E317D8" w:rsidRDefault="003C27E8">
                            <w:pPr>
                              <w:rPr>
                                <w:sz w:val="18"/>
                                <w:szCs w:val="18"/>
                                <w:lang w:val="de-AT"/>
                              </w:rPr>
                            </w:pPr>
                            <w:r w:rsidRPr="00E317D8">
                              <w:rPr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de-AT"/>
                              </w:rPr>
                              <w:t>In Kooperation und mit freundlicher Unterstützung durch</w:t>
                            </w:r>
                            <w:r w:rsidRPr="00E317D8">
                              <w:rPr>
                                <w:sz w:val="18"/>
                                <w:szCs w:val="18"/>
                                <w:lang w:val="de-AT"/>
                              </w:rPr>
                              <w:t xml:space="preserve">: Institut für Geschichte der Universität Wien; </w:t>
                            </w:r>
                            <w:r w:rsidR="00626568">
                              <w:rPr>
                                <w:sz w:val="18"/>
                                <w:szCs w:val="18"/>
                                <w:lang w:val="de-AT"/>
                              </w:rPr>
                              <w:t>Qwien</w:t>
                            </w:r>
                            <w:r w:rsidR="000915FC">
                              <w:rPr>
                                <w:sz w:val="18"/>
                                <w:szCs w:val="18"/>
                                <w:lang w:val="de-AT"/>
                              </w:rPr>
                              <w:t xml:space="preserve"> –</w:t>
                            </w:r>
                            <w:r w:rsidR="00626568">
                              <w:rPr>
                                <w:sz w:val="18"/>
                                <w:szCs w:val="18"/>
                                <w:lang w:val="de-AT"/>
                              </w:rPr>
                              <w:t xml:space="preserve"> Verein für queere Kultur und Geschichte</w:t>
                            </w:r>
                            <w:r w:rsidR="002C7CF4">
                              <w:rPr>
                                <w:sz w:val="18"/>
                                <w:szCs w:val="18"/>
                                <w:lang w:val="de-AT"/>
                              </w:rPr>
                              <w:t>;</w:t>
                            </w:r>
                            <w:r w:rsidR="00626568">
                              <w:rPr>
                                <w:sz w:val="18"/>
                                <w:szCs w:val="18"/>
                                <w:lang w:val="de-AT"/>
                              </w:rPr>
                              <w:t xml:space="preserve"> </w:t>
                            </w:r>
                            <w:r w:rsidR="007405D0">
                              <w:rPr>
                                <w:sz w:val="18"/>
                                <w:szCs w:val="18"/>
                                <w:lang w:val="de-AT"/>
                              </w:rPr>
                              <w:t>Historisch-</w:t>
                            </w:r>
                            <w:r w:rsidRPr="00E317D8">
                              <w:rPr>
                                <w:sz w:val="18"/>
                                <w:szCs w:val="18"/>
                                <w:lang w:val="de-AT"/>
                              </w:rPr>
                              <w:t>Kulturwissenschaftliche Fakultät der Universität Wien und de</w:t>
                            </w:r>
                            <w:r w:rsidR="00626568">
                              <w:rPr>
                                <w:sz w:val="18"/>
                                <w:szCs w:val="18"/>
                                <w:lang w:val="de-AT"/>
                              </w:rPr>
                              <w:t>ren</w:t>
                            </w:r>
                            <w:r w:rsidRPr="00E317D8">
                              <w:rPr>
                                <w:sz w:val="18"/>
                                <w:szCs w:val="18"/>
                                <w:lang w:val="de-AT"/>
                              </w:rPr>
                              <w:t xml:space="preserve"> Forschungsschwerpunkt „Demokratie und Menschenrechte“; Forschungsverbund „Demokratie und Menschenrechte“ der Universität Wien; Zukunftsfonds der Republik Österreich; Nationalfonds der Republik Österreich für Opfer des Nationalsozialismus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2377F4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69.45pt;margin-top:61.4pt;width:562.8pt;height:58.35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" filled="f" stroked="f" strokeweight=".5pt">
                <v:textbox>
                  <w:txbxContent>
                    <w:p w14:paraId="41191716" w14:textId="2B9E6B42" w:rsidR="000A10F5" w:rsidRPr="00E317D8" w:rsidRDefault="003C27E8">
                      <w:pPr>
                        <w:rPr>
                          <w:sz w:val="18"/>
                          <w:szCs w:val="18"/>
                          <w:lang w:val="de-AT"/>
                        </w:rPr>
                      </w:pPr>
                      <w:r w:rsidRPr="00E317D8">
                        <w:rPr>
                          <w:b/>
                          <w:bCs/>
                          <w:i/>
                          <w:iCs/>
                          <w:sz w:val="18"/>
                          <w:szCs w:val="18"/>
                          <w:lang w:val="de-AT"/>
                        </w:rPr>
                        <w:t>In Kooperation und mit freundlicher Unterstützung durch</w:t>
                      </w:r>
                      <w:r w:rsidRPr="00E317D8">
                        <w:rPr>
                          <w:sz w:val="18"/>
                          <w:szCs w:val="18"/>
                          <w:lang w:val="de-AT"/>
                        </w:rPr>
                        <w:t xml:space="preserve">: Institut für Geschichte der Universität Wien; </w:t>
                      </w:r>
                      <w:r w:rsidR="00626568">
                        <w:rPr>
                          <w:sz w:val="18"/>
                          <w:szCs w:val="18"/>
                          <w:lang w:val="de-AT"/>
                        </w:rPr>
                        <w:t>Qwien</w:t>
                      </w:r>
                      <w:r w:rsidR="000915FC">
                        <w:rPr>
                          <w:sz w:val="18"/>
                          <w:szCs w:val="18"/>
                          <w:lang w:val="de-AT"/>
                        </w:rPr>
                        <w:t xml:space="preserve"> –</w:t>
                      </w:r>
                      <w:r w:rsidR="00626568">
                        <w:rPr>
                          <w:sz w:val="18"/>
                          <w:szCs w:val="18"/>
                          <w:lang w:val="de-AT"/>
                        </w:rPr>
                        <w:t xml:space="preserve"> Verein für queere Kultur und Geschichte</w:t>
                      </w:r>
                      <w:r w:rsidR="002C7CF4">
                        <w:rPr>
                          <w:sz w:val="18"/>
                          <w:szCs w:val="18"/>
                          <w:lang w:val="de-AT"/>
                        </w:rPr>
                        <w:t>;</w:t>
                      </w:r>
                      <w:r w:rsidR="00626568">
                        <w:rPr>
                          <w:sz w:val="18"/>
                          <w:szCs w:val="18"/>
                          <w:lang w:val="de-AT"/>
                        </w:rPr>
                        <w:t xml:space="preserve"> </w:t>
                      </w:r>
                      <w:r w:rsidR="007405D0">
                        <w:rPr>
                          <w:sz w:val="18"/>
                          <w:szCs w:val="18"/>
                          <w:lang w:val="de-AT"/>
                        </w:rPr>
                        <w:t>Historisch-</w:t>
                      </w:r>
                      <w:r w:rsidRPr="00E317D8">
                        <w:rPr>
                          <w:sz w:val="18"/>
                          <w:szCs w:val="18"/>
                          <w:lang w:val="de-AT"/>
                        </w:rPr>
                        <w:t>Kulturwissenschaftliche Fakultät der Universität Wien und de</w:t>
                      </w:r>
                      <w:r w:rsidR="00626568">
                        <w:rPr>
                          <w:sz w:val="18"/>
                          <w:szCs w:val="18"/>
                          <w:lang w:val="de-AT"/>
                        </w:rPr>
                        <w:t>ren</w:t>
                      </w:r>
                      <w:r w:rsidRPr="00E317D8">
                        <w:rPr>
                          <w:sz w:val="18"/>
                          <w:szCs w:val="18"/>
                          <w:lang w:val="de-AT"/>
                        </w:rPr>
                        <w:t xml:space="preserve"> Forschungsschwerpunkt „Demokratie und Menschenrechte“; Forschungsverbund „Demokratie und Menschenrechte“ der Universität Wien; Zukunftsfonds der Republik Österreich; Nationalfonds der Republik Österreich für Opfer des Nationalsozialismus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605D4">
        <w:rPr>
          <w:b/>
          <w:bCs/>
          <w:noProof/>
          <w:lang w:val="de-AT"/>
        </w:rPr>
        <w:drawing>
          <wp:inline distT="0" distB="0" distL="0" distR="0" wp14:anchorId="030A9D87" wp14:editId="0845F0BF">
            <wp:extent cx="568036" cy="568036"/>
            <wp:effectExtent l="0" t="0" r="3810" b="3810"/>
            <wp:docPr id="924436749" name="Grafik 2" descr="Ein Bild, das Muster, Grafiken, Kunst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436749" name="Grafik 2" descr="Ein Bild, das Muster, Grafiken, Kunst, Pixel enthält.&#10;&#10;KI-generierte Inhalte können fehlerhaft sein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5329" cy="58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5CC3F" w14:textId="0CEDA6F5" w:rsidR="005B7BD8" w:rsidRDefault="001C507A">
      <w:pPr>
        <w:rPr>
          <w:b/>
          <w:bCs/>
          <w:lang w:val="de-AT"/>
        </w:rPr>
      </w:pPr>
      <w:r>
        <w:rPr>
          <w:noProof/>
          <w:lang w:val="de-AT"/>
        </w:rPr>
        <w:drawing>
          <wp:anchor distT="0" distB="0" distL="114300" distR="114300" simplePos="0" relativeHeight="251667968" behindDoc="0" locked="0" layoutInCell="1" allowOverlap="1" wp14:anchorId="7C34045C" wp14:editId="343DD636">
            <wp:simplePos x="0" y="0"/>
            <wp:positionH relativeFrom="page">
              <wp:align>right</wp:align>
            </wp:positionH>
            <wp:positionV relativeFrom="margin">
              <wp:posOffset>9220200</wp:posOffset>
            </wp:positionV>
            <wp:extent cx="2172335" cy="295910"/>
            <wp:effectExtent l="0" t="0" r="0" b="8890"/>
            <wp:wrapThrough wrapText="bothSides">
              <wp:wrapPolygon edited="0">
                <wp:start x="2084" y="0"/>
                <wp:lineTo x="1515" y="4172"/>
                <wp:lineTo x="1705" y="20858"/>
                <wp:lineTo x="3410" y="20858"/>
                <wp:lineTo x="20836" y="18077"/>
                <wp:lineTo x="20836" y="5562"/>
                <wp:lineTo x="3220" y="0"/>
                <wp:lineTo x="2084" y="0"/>
              </wp:wrapPolygon>
            </wp:wrapThrough>
            <wp:docPr id="2016429124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429124" name="Grafik 20164291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72335" cy="29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iCs/>
          <w:noProof/>
        </w:rPr>
        <w:drawing>
          <wp:anchor distT="0" distB="0" distL="114300" distR="114300" simplePos="0" relativeHeight="251666944" behindDoc="0" locked="0" layoutInCell="1" allowOverlap="1" wp14:anchorId="6FC6CE53" wp14:editId="4F026BC9">
            <wp:simplePos x="0" y="0"/>
            <wp:positionH relativeFrom="margin">
              <wp:posOffset>2918460</wp:posOffset>
            </wp:positionH>
            <wp:positionV relativeFrom="margin">
              <wp:posOffset>9176385</wp:posOffset>
            </wp:positionV>
            <wp:extent cx="1272540" cy="344805"/>
            <wp:effectExtent l="0" t="0" r="3810" b="0"/>
            <wp:wrapThrough wrapText="bothSides">
              <wp:wrapPolygon edited="0">
                <wp:start x="0" y="0"/>
                <wp:lineTo x="0" y="20287"/>
                <wp:lineTo x="21341" y="20287"/>
                <wp:lineTo x="21341" y="0"/>
                <wp:lineTo x="0" y="0"/>
              </wp:wrapPolygon>
            </wp:wrapThrough>
            <wp:docPr id="1581265909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265909" name="Grafik 158126590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344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iCs/>
          <w:noProof/>
        </w:rPr>
        <w:drawing>
          <wp:anchor distT="0" distB="0" distL="114300" distR="114300" simplePos="0" relativeHeight="251665920" behindDoc="0" locked="0" layoutInCell="1" allowOverlap="1" wp14:anchorId="38BC4DCF" wp14:editId="29EBD0AB">
            <wp:simplePos x="0" y="0"/>
            <wp:positionH relativeFrom="margin">
              <wp:posOffset>1866900</wp:posOffset>
            </wp:positionH>
            <wp:positionV relativeFrom="margin">
              <wp:posOffset>9113520</wp:posOffset>
            </wp:positionV>
            <wp:extent cx="839470" cy="480060"/>
            <wp:effectExtent l="0" t="0" r="0" b="0"/>
            <wp:wrapThrough wrapText="bothSides">
              <wp:wrapPolygon edited="0">
                <wp:start x="0" y="0"/>
                <wp:lineTo x="0" y="20571"/>
                <wp:lineTo x="21077" y="20571"/>
                <wp:lineTo x="21077" y="0"/>
                <wp:lineTo x="0" y="0"/>
              </wp:wrapPolygon>
            </wp:wrapThrough>
            <wp:docPr id="1302888548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888548" name="Grafik 130288854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39470" cy="480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iCs/>
          <w:noProof/>
        </w:rPr>
        <w:drawing>
          <wp:anchor distT="0" distB="0" distL="114300" distR="114300" simplePos="0" relativeHeight="251664896" behindDoc="0" locked="0" layoutInCell="1" allowOverlap="1" wp14:anchorId="01ADCF86" wp14:editId="2BA69B84">
            <wp:simplePos x="0" y="0"/>
            <wp:positionH relativeFrom="margin">
              <wp:posOffset>624840</wp:posOffset>
            </wp:positionH>
            <wp:positionV relativeFrom="margin">
              <wp:posOffset>9151620</wp:posOffset>
            </wp:positionV>
            <wp:extent cx="974725" cy="591185"/>
            <wp:effectExtent l="0" t="0" r="0" b="0"/>
            <wp:wrapThrough wrapText="bothSides">
              <wp:wrapPolygon edited="0">
                <wp:start x="0" y="0"/>
                <wp:lineTo x="0" y="20881"/>
                <wp:lineTo x="21107" y="20881"/>
                <wp:lineTo x="21107" y="0"/>
                <wp:lineTo x="0" y="0"/>
              </wp:wrapPolygon>
            </wp:wrapThrough>
            <wp:docPr id="139255645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556454" name="Grafik 139255645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lang w:val="de-AT"/>
        </w:rPr>
        <w:drawing>
          <wp:anchor distT="0" distB="0" distL="114300" distR="114300" simplePos="0" relativeHeight="251663872" behindDoc="0" locked="0" layoutInCell="1" allowOverlap="1" wp14:anchorId="083DDFBE" wp14:editId="332BD943">
            <wp:simplePos x="0" y="0"/>
            <wp:positionH relativeFrom="margin">
              <wp:posOffset>-861060</wp:posOffset>
            </wp:positionH>
            <wp:positionV relativeFrom="margin">
              <wp:posOffset>9174480</wp:posOffset>
            </wp:positionV>
            <wp:extent cx="1173480" cy="416560"/>
            <wp:effectExtent l="0" t="0" r="7620" b="2540"/>
            <wp:wrapThrough wrapText="bothSides">
              <wp:wrapPolygon edited="0">
                <wp:start x="0" y="0"/>
                <wp:lineTo x="0" y="20744"/>
                <wp:lineTo x="21390" y="20744"/>
                <wp:lineTo x="21390" y="0"/>
                <wp:lineTo x="0" y="0"/>
              </wp:wrapPolygon>
            </wp:wrapThrough>
            <wp:docPr id="2146493941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493941" name="Grafik 214649394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73480" cy="416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7BD8">
        <w:rPr>
          <w:b/>
          <w:bCs/>
          <w:lang w:val="de-AT"/>
        </w:rPr>
        <w:br w:type="page"/>
      </w:r>
    </w:p>
    <w:p w14:paraId="4F6CDD6F" w14:textId="2C2CBBAA" w:rsidR="00681B79" w:rsidRPr="00681B79" w:rsidRDefault="00681B79" w:rsidP="00681B79">
      <w:pPr>
        <w:spacing w:after="360"/>
        <w:jc w:val="center"/>
        <w:rPr>
          <w:b/>
          <w:bCs/>
          <w:sz w:val="28"/>
          <w:szCs w:val="28"/>
          <w:lang w:val="de-AT"/>
        </w:rPr>
      </w:pPr>
      <w:r w:rsidRPr="00681B79">
        <w:rPr>
          <w:b/>
          <w:bCs/>
          <w:sz w:val="28"/>
          <w:szCs w:val="28"/>
          <w:lang w:val="de-AT"/>
        </w:rPr>
        <w:lastRenderedPageBreak/>
        <w:t>Vorarbeiten und Literatur</w:t>
      </w:r>
      <w:r w:rsidR="000915FC">
        <w:rPr>
          <w:b/>
          <w:bCs/>
          <w:sz w:val="28"/>
          <w:szCs w:val="28"/>
          <w:lang w:val="de-AT"/>
        </w:rPr>
        <w:t xml:space="preserve"> in Auswahl</w:t>
      </w:r>
    </w:p>
    <w:p w14:paraId="7833CCAE" w14:textId="592FF854" w:rsidR="00251BFB" w:rsidRPr="001C507A" w:rsidRDefault="00251BFB">
      <w:pPr>
        <w:spacing w:after="360"/>
        <w:rPr>
          <w:sz w:val="21"/>
          <w:szCs w:val="21"/>
          <w:lang w:val="de-AT"/>
        </w:rPr>
      </w:pPr>
      <w:r w:rsidRPr="001C507A">
        <w:rPr>
          <w:sz w:val="21"/>
          <w:szCs w:val="21"/>
          <w:lang w:val="de-AT"/>
        </w:rPr>
        <w:t xml:space="preserve">Bister, Feliks J., Rudolf Goldscheid und die Österreichische Liga für Menschenrechte, in: Mitchell G. Ash/Christian H. Stifter (Hg.), </w:t>
      </w:r>
      <w:r w:rsidRPr="001C507A">
        <w:rPr>
          <w:iCs/>
          <w:sz w:val="21"/>
          <w:szCs w:val="21"/>
          <w:lang w:val="de-AT"/>
        </w:rPr>
        <w:t>Wissenschaft, Politik und Öffentlichkeit. Von der Wiener Moderne bis zur Gegenwart,</w:t>
      </w:r>
      <w:r w:rsidRPr="001C507A">
        <w:rPr>
          <w:sz w:val="21"/>
          <w:szCs w:val="21"/>
          <w:lang w:val="de-AT"/>
        </w:rPr>
        <w:t xml:space="preserve"> Wien 2002, </w:t>
      </w:r>
      <w:r w:rsidR="000915FC" w:rsidRPr="001C507A">
        <w:rPr>
          <w:sz w:val="21"/>
          <w:szCs w:val="21"/>
          <w:lang w:val="de-AT"/>
        </w:rPr>
        <w:t xml:space="preserve">S. </w:t>
      </w:r>
      <w:r w:rsidRPr="001C507A">
        <w:rPr>
          <w:sz w:val="21"/>
          <w:szCs w:val="21"/>
          <w:lang w:val="de-AT"/>
        </w:rPr>
        <w:t>321–328.</w:t>
      </w:r>
    </w:p>
    <w:p w14:paraId="65A5E907" w14:textId="1EF87401" w:rsidR="00251BFB" w:rsidRPr="001C507A" w:rsidRDefault="00251BFB">
      <w:pPr>
        <w:spacing w:after="360"/>
        <w:rPr>
          <w:sz w:val="21"/>
          <w:szCs w:val="21"/>
          <w:lang w:val="de-AT"/>
        </w:rPr>
      </w:pPr>
      <w:r w:rsidRPr="001C507A">
        <w:rPr>
          <w:sz w:val="21"/>
          <w:szCs w:val="21"/>
          <w:lang w:val="de-AT" w:eastAsia="de-DE"/>
        </w:rPr>
        <w:t xml:space="preserve">Gallob, Bernd, Die Österreichische Liga für Menschenrechte. Ein Bericht zu ihrer Gründung, in: </w:t>
      </w:r>
      <w:r w:rsidRPr="001C507A">
        <w:rPr>
          <w:sz w:val="21"/>
          <w:szCs w:val="21"/>
          <w:lang w:val="de-AT"/>
        </w:rPr>
        <w:t xml:space="preserve">Margarete Grandner/Wolfgang Schmale/Michael Weinzierl (Hg.), </w:t>
      </w:r>
      <w:r w:rsidRPr="001C507A">
        <w:rPr>
          <w:iCs/>
          <w:sz w:val="21"/>
          <w:szCs w:val="21"/>
          <w:lang w:val="de-AT"/>
        </w:rPr>
        <w:t>Grund- und Menschenrechte. Historische Perspektiven – Aktuelle Problematiken</w:t>
      </w:r>
      <w:r w:rsidRPr="001C507A">
        <w:rPr>
          <w:sz w:val="21"/>
          <w:szCs w:val="21"/>
          <w:lang w:val="de-AT"/>
        </w:rPr>
        <w:t>, Wien/München 2002,</w:t>
      </w:r>
      <w:r w:rsidRPr="001C507A">
        <w:rPr>
          <w:sz w:val="21"/>
          <w:szCs w:val="21"/>
          <w:lang w:val="de-AT" w:eastAsia="de-DE"/>
        </w:rPr>
        <w:t xml:space="preserve"> </w:t>
      </w:r>
      <w:r w:rsidR="000915FC" w:rsidRPr="001C507A">
        <w:rPr>
          <w:sz w:val="21"/>
          <w:szCs w:val="21"/>
          <w:lang w:val="de-AT" w:eastAsia="de-DE"/>
        </w:rPr>
        <w:t xml:space="preserve">S. </w:t>
      </w:r>
      <w:r w:rsidRPr="001C507A">
        <w:rPr>
          <w:sz w:val="21"/>
          <w:szCs w:val="21"/>
          <w:lang w:val="de-AT" w:eastAsia="de-DE"/>
        </w:rPr>
        <w:t>350–367.</w:t>
      </w:r>
    </w:p>
    <w:p w14:paraId="7A21DA07" w14:textId="4859FC02" w:rsidR="00251BFB" w:rsidRPr="001C507A" w:rsidRDefault="00251BFB">
      <w:pPr>
        <w:spacing w:after="360"/>
        <w:rPr>
          <w:sz w:val="21"/>
          <w:szCs w:val="21"/>
          <w:lang w:val="de-AT"/>
        </w:rPr>
      </w:pPr>
      <w:r w:rsidRPr="001C507A">
        <w:rPr>
          <w:sz w:val="21"/>
          <w:szCs w:val="21"/>
          <w:lang w:val="de-AT"/>
        </w:rPr>
        <w:t>Helige, Barbara/</w:t>
      </w:r>
      <w:proofErr w:type="spellStart"/>
      <w:r w:rsidRPr="001C507A">
        <w:rPr>
          <w:sz w:val="21"/>
          <w:szCs w:val="21"/>
          <w:lang w:val="de-AT"/>
        </w:rPr>
        <w:t>Wisinger</w:t>
      </w:r>
      <w:proofErr w:type="spellEnd"/>
      <w:r w:rsidRPr="001C507A">
        <w:rPr>
          <w:sz w:val="21"/>
          <w:szCs w:val="21"/>
          <w:lang w:val="de-AT"/>
        </w:rPr>
        <w:t xml:space="preserve">, Marion, Im Dienste der Menschheit, in: Patricia </w:t>
      </w:r>
      <w:proofErr w:type="spellStart"/>
      <w:r w:rsidRPr="001C507A">
        <w:rPr>
          <w:sz w:val="21"/>
          <w:szCs w:val="21"/>
          <w:lang w:val="de-AT"/>
        </w:rPr>
        <w:t>Hladschik</w:t>
      </w:r>
      <w:proofErr w:type="spellEnd"/>
      <w:r w:rsidRPr="001C507A">
        <w:rPr>
          <w:sz w:val="21"/>
          <w:szCs w:val="21"/>
          <w:lang w:val="de-AT"/>
        </w:rPr>
        <w:t xml:space="preserve">/Fiona Steinert (Hg.), </w:t>
      </w:r>
      <w:r w:rsidRPr="001C507A">
        <w:rPr>
          <w:iCs/>
          <w:sz w:val="21"/>
          <w:szCs w:val="21"/>
          <w:lang w:val="de-AT"/>
        </w:rPr>
        <w:t>Menschenrechten Gestalt und Wirksamkeit verleihen. Making Human Rights Work. Festschrift für Manfred Nowak und Hannes Tretter</w:t>
      </w:r>
      <w:r w:rsidRPr="001C507A">
        <w:rPr>
          <w:sz w:val="21"/>
          <w:szCs w:val="21"/>
          <w:lang w:val="de-AT"/>
        </w:rPr>
        <w:t xml:space="preserve">, Wien/Graz 2019, </w:t>
      </w:r>
      <w:r w:rsidR="000915FC" w:rsidRPr="001C507A">
        <w:rPr>
          <w:sz w:val="21"/>
          <w:szCs w:val="21"/>
          <w:lang w:val="de-AT"/>
        </w:rPr>
        <w:t xml:space="preserve">S. </w:t>
      </w:r>
      <w:r w:rsidRPr="001C507A">
        <w:rPr>
          <w:sz w:val="21"/>
          <w:szCs w:val="21"/>
          <w:lang w:val="de-AT"/>
        </w:rPr>
        <w:t>313–318.</w:t>
      </w:r>
    </w:p>
    <w:p w14:paraId="5C3DB4D7" w14:textId="42E9583B" w:rsidR="00251BFB" w:rsidRPr="0037511C" w:rsidRDefault="00251BFB">
      <w:pPr>
        <w:spacing w:after="360"/>
        <w:rPr>
          <w:b/>
          <w:bCs/>
          <w:sz w:val="21"/>
          <w:szCs w:val="21"/>
          <w:lang w:val="de-AT"/>
        </w:rPr>
      </w:pPr>
      <w:r w:rsidRPr="001C507A">
        <w:rPr>
          <w:sz w:val="21"/>
          <w:szCs w:val="21"/>
          <w:lang w:val="de-AT"/>
        </w:rPr>
        <w:t xml:space="preserve">Koch, Max/Ebner, Elisabeth, Zivilgesellschaft und Mitsprache, in: Emil Brix/Jürgen Nautz/Klaus Poier (Hg.), </w:t>
      </w:r>
      <w:r w:rsidRPr="001C507A">
        <w:rPr>
          <w:iCs/>
          <w:sz w:val="21"/>
          <w:szCs w:val="21"/>
          <w:lang w:val="de-AT"/>
        </w:rPr>
        <w:t>Die österreichische Verfassungsdiskussion und die Zivilgesellschaft</w:t>
      </w:r>
      <w:r w:rsidRPr="001C507A">
        <w:rPr>
          <w:sz w:val="21"/>
          <w:szCs w:val="21"/>
          <w:lang w:val="de-AT"/>
        </w:rPr>
        <w:t xml:space="preserve">, Wien 2006, </w:t>
      </w:r>
      <w:r w:rsidR="000915FC" w:rsidRPr="001C507A">
        <w:rPr>
          <w:sz w:val="21"/>
          <w:szCs w:val="21"/>
          <w:lang w:val="de-AT"/>
        </w:rPr>
        <w:t xml:space="preserve">S. </w:t>
      </w:r>
      <w:r w:rsidRPr="001C507A">
        <w:rPr>
          <w:sz w:val="21"/>
          <w:szCs w:val="21"/>
          <w:lang w:val="de-AT"/>
        </w:rPr>
        <w:t>131–138.</w:t>
      </w:r>
    </w:p>
    <w:p w14:paraId="220B0B2D" w14:textId="21469738" w:rsidR="00681B79" w:rsidRPr="001C507A" w:rsidRDefault="00E1027E">
      <w:pPr>
        <w:spacing w:after="360"/>
        <w:rPr>
          <w:sz w:val="21"/>
          <w:szCs w:val="21"/>
          <w:lang w:val="de-AT"/>
        </w:rPr>
      </w:pPr>
      <w:r w:rsidRPr="001C507A">
        <w:rPr>
          <w:sz w:val="21"/>
          <w:szCs w:val="21"/>
          <w:lang w:val="de-AT"/>
        </w:rPr>
        <w:t xml:space="preserve">Körner, </w:t>
      </w:r>
      <w:r w:rsidR="00251BFB" w:rsidRPr="001C507A">
        <w:rPr>
          <w:sz w:val="21"/>
          <w:szCs w:val="21"/>
          <w:lang w:val="de-AT"/>
        </w:rPr>
        <w:t xml:space="preserve">Erich, </w:t>
      </w:r>
      <w:r w:rsidRPr="001C507A">
        <w:rPr>
          <w:sz w:val="21"/>
          <w:szCs w:val="21"/>
          <w:lang w:val="de-AT"/>
        </w:rPr>
        <w:t xml:space="preserve">Ein halbes Jahrhundert „im Dienst der Menschheit“ – Grundlagen und Entwicklung der Österreichischen Liga für Menschenrechte (I–V), in: </w:t>
      </w:r>
      <w:r w:rsidRPr="001C507A">
        <w:rPr>
          <w:iCs/>
          <w:sz w:val="21"/>
          <w:szCs w:val="21"/>
          <w:lang w:val="de-AT"/>
        </w:rPr>
        <w:t>Das Menschenrecht. Offizielles Organ der Österreichischen Liga für Menschenrechte</w:t>
      </w:r>
      <w:r w:rsidRPr="001C507A">
        <w:rPr>
          <w:sz w:val="21"/>
          <w:szCs w:val="21"/>
          <w:lang w:val="de-AT"/>
        </w:rPr>
        <w:t xml:space="preserve"> 32/1977, Nr. 1–4.</w:t>
      </w:r>
    </w:p>
    <w:p w14:paraId="57AD1B53" w14:textId="7B786691" w:rsidR="00251BFB" w:rsidRPr="001C507A" w:rsidRDefault="00251BFB">
      <w:pPr>
        <w:spacing w:after="360"/>
        <w:rPr>
          <w:sz w:val="21"/>
          <w:szCs w:val="21"/>
          <w:lang w:val="de-AT"/>
        </w:rPr>
      </w:pPr>
      <w:r w:rsidRPr="0037511C">
        <w:rPr>
          <w:sz w:val="21"/>
          <w:szCs w:val="21"/>
          <w:lang w:val="de-DE"/>
        </w:rPr>
        <w:t xml:space="preserve">Patka, Marcus G., </w:t>
      </w:r>
      <w:r w:rsidRPr="0037511C">
        <w:rPr>
          <w:iCs/>
          <w:sz w:val="21"/>
          <w:szCs w:val="21"/>
          <w:lang w:val="de-DE"/>
        </w:rPr>
        <w:t>Freimaurerei und Sozialreform. Der Kampf für Menschenrechte, Pazifismus und Zivilgesellschaft in Österreich 1869–1938</w:t>
      </w:r>
      <w:r w:rsidRPr="0037511C">
        <w:rPr>
          <w:sz w:val="21"/>
          <w:szCs w:val="21"/>
          <w:lang w:val="de-DE"/>
        </w:rPr>
        <w:t>, Wien 2011.</w:t>
      </w:r>
    </w:p>
    <w:p w14:paraId="3704BC99" w14:textId="719CA59D" w:rsidR="00251BFB" w:rsidRPr="0037511C" w:rsidRDefault="00251BFB">
      <w:pPr>
        <w:spacing w:after="360"/>
        <w:rPr>
          <w:iCs/>
          <w:sz w:val="21"/>
          <w:szCs w:val="21"/>
          <w:lang w:val="en-GB"/>
        </w:rPr>
      </w:pPr>
      <w:r w:rsidRPr="0037511C">
        <w:rPr>
          <w:sz w:val="21"/>
          <w:szCs w:val="21"/>
        </w:rPr>
        <w:t xml:space="preserve">Schmale, Wolfgang, </w:t>
      </w:r>
      <w:r w:rsidRPr="0037511C">
        <w:rPr>
          <w:iCs/>
          <w:sz w:val="21"/>
          <w:szCs w:val="21"/>
        </w:rPr>
        <w:t xml:space="preserve">For a Democratic „United States of </w:t>
      </w:r>
      <w:proofErr w:type="gramStart"/>
      <w:r w:rsidRPr="0037511C">
        <w:rPr>
          <w:iCs/>
          <w:sz w:val="21"/>
          <w:szCs w:val="21"/>
        </w:rPr>
        <w:t>Europe“ (</w:t>
      </w:r>
      <w:proofErr w:type="gramEnd"/>
      <w:r w:rsidRPr="0037511C">
        <w:rPr>
          <w:iCs/>
          <w:sz w:val="21"/>
          <w:szCs w:val="21"/>
        </w:rPr>
        <w:t xml:space="preserve">1918–1951). </w:t>
      </w:r>
      <w:r w:rsidRPr="0037511C">
        <w:rPr>
          <w:iCs/>
          <w:sz w:val="21"/>
          <w:szCs w:val="21"/>
          <w:lang w:val="en-GB"/>
        </w:rPr>
        <w:t>Freemasons – Human Rights Leagues – Winston Churchill – Individual Citizens, Stuttgart 2019.</w:t>
      </w:r>
    </w:p>
    <w:p w14:paraId="20673E2E" w14:textId="7DA14A5E" w:rsidR="0037511C" w:rsidRPr="001C507A" w:rsidRDefault="0037511C">
      <w:pPr>
        <w:spacing w:after="360"/>
        <w:rPr>
          <w:sz w:val="21"/>
          <w:szCs w:val="21"/>
          <w:lang w:val="de-AT"/>
        </w:rPr>
      </w:pPr>
      <w:r w:rsidRPr="0037511C">
        <w:rPr>
          <w:sz w:val="21"/>
          <w:szCs w:val="21"/>
        </w:rPr>
        <w:t xml:space="preserve">Stoisits, Terezija, </w:t>
      </w:r>
      <w:proofErr w:type="spellStart"/>
      <w:r w:rsidRPr="0037511C">
        <w:rPr>
          <w:sz w:val="21"/>
          <w:szCs w:val="21"/>
        </w:rPr>
        <w:t>Abgrenzung</w:t>
      </w:r>
      <w:proofErr w:type="spellEnd"/>
      <w:r w:rsidRPr="0037511C">
        <w:rPr>
          <w:sz w:val="21"/>
          <w:szCs w:val="21"/>
        </w:rPr>
        <w:t xml:space="preserve"> – </w:t>
      </w:r>
      <w:proofErr w:type="spellStart"/>
      <w:r w:rsidRPr="0037511C">
        <w:rPr>
          <w:sz w:val="21"/>
          <w:szCs w:val="21"/>
        </w:rPr>
        <w:t>Ausgrenzung</w:t>
      </w:r>
      <w:proofErr w:type="spellEnd"/>
      <w:r w:rsidRPr="0037511C">
        <w:rPr>
          <w:sz w:val="21"/>
          <w:szCs w:val="21"/>
        </w:rPr>
        <w:t xml:space="preserve">. </w:t>
      </w:r>
      <w:r w:rsidRPr="001C507A">
        <w:rPr>
          <w:sz w:val="21"/>
          <w:szCs w:val="21"/>
          <w:lang w:val="de-AT"/>
        </w:rPr>
        <w:t xml:space="preserve">Menschenrechte im Nationalstaat, in: Margarete Grandner/Wolfgang Schmale/Michael Weinzierl (Hg.), </w:t>
      </w:r>
      <w:r w:rsidRPr="001C507A">
        <w:rPr>
          <w:iCs/>
          <w:sz w:val="21"/>
          <w:szCs w:val="21"/>
          <w:lang w:val="de-AT"/>
        </w:rPr>
        <w:t>Grund- und Menschenrechte. Historische Perspektiven – Aktuelle Problematiken</w:t>
      </w:r>
      <w:r w:rsidRPr="001C507A">
        <w:rPr>
          <w:sz w:val="21"/>
          <w:szCs w:val="21"/>
          <w:lang w:val="de-AT"/>
        </w:rPr>
        <w:t xml:space="preserve">, Wien/München 2002, </w:t>
      </w:r>
      <w:r w:rsidR="000915FC" w:rsidRPr="001C507A">
        <w:rPr>
          <w:sz w:val="21"/>
          <w:szCs w:val="21"/>
          <w:lang w:val="de-AT"/>
        </w:rPr>
        <w:t xml:space="preserve">S. </w:t>
      </w:r>
      <w:r w:rsidRPr="001C507A">
        <w:rPr>
          <w:sz w:val="21"/>
          <w:szCs w:val="21"/>
          <w:lang w:val="de-AT"/>
        </w:rPr>
        <w:t>316–335.</w:t>
      </w:r>
    </w:p>
    <w:p w14:paraId="08D06D73" w14:textId="3807DE25" w:rsidR="00E1027E" w:rsidRPr="001C507A" w:rsidRDefault="00251BFB">
      <w:pPr>
        <w:spacing w:after="360"/>
        <w:rPr>
          <w:sz w:val="21"/>
          <w:szCs w:val="21"/>
          <w:lang w:val="de-AT"/>
        </w:rPr>
      </w:pPr>
      <w:r w:rsidRPr="001C507A">
        <w:rPr>
          <w:sz w:val="21"/>
          <w:szCs w:val="21"/>
          <w:lang w:val="de-AT"/>
        </w:rPr>
        <w:t xml:space="preserve">Treiblmayr, Christopher, The Austrian League </w:t>
      </w:r>
      <w:proofErr w:type="spellStart"/>
      <w:r w:rsidRPr="001C507A">
        <w:rPr>
          <w:sz w:val="21"/>
          <w:szCs w:val="21"/>
          <w:lang w:val="de-AT"/>
        </w:rPr>
        <w:t>for</w:t>
      </w:r>
      <w:proofErr w:type="spellEnd"/>
      <w:r w:rsidRPr="001C507A">
        <w:rPr>
          <w:sz w:val="21"/>
          <w:szCs w:val="21"/>
          <w:lang w:val="de-AT"/>
        </w:rPr>
        <w:t xml:space="preserve"> Human Rights and </w:t>
      </w:r>
      <w:proofErr w:type="spellStart"/>
      <w:r w:rsidRPr="001C507A">
        <w:rPr>
          <w:sz w:val="21"/>
          <w:szCs w:val="21"/>
          <w:lang w:val="de-AT"/>
        </w:rPr>
        <w:t>its</w:t>
      </w:r>
      <w:proofErr w:type="spellEnd"/>
      <w:r w:rsidRPr="001C507A">
        <w:rPr>
          <w:sz w:val="21"/>
          <w:szCs w:val="21"/>
          <w:lang w:val="de-AT"/>
        </w:rPr>
        <w:t xml:space="preserve"> International Relations (1926–1938), in: Wolfgang Schmale/Christopher Treiblmayr (Hg.), Human Rights Leagues in Europe (1898–2016), Stuttgart 2017, </w:t>
      </w:r>
      <w:r w:rsidR="000915FC" w:rsidRPr="001C507A">
        <w:rPr>
          <w:sz w:val="21"/>
          <w:szCs w:val="21"/>
          <w:lang w:val="de-AT"/>
        </w:rPr>
        <w:t xml:space="preserve">S. </w:t>
      </w:r>
      <w:r w:rsidRPr="001C507A">
        <w:rPr>
          <w:sz w:val="21"/>
          <w:szCs w:val="21"/>
          <w:lang w:val="de-AT"/>
        </w:rPr>
        <w:t>223–256.</w:t>
      </w:r>
    </w:p>
    <w:p w14:paraId="4D170D45" w14:textId="3D188E82" w:rsidR="004945B5" w:rsidRPr="001C507A" w:rsidRDefault="004945B5">
      <w:pPr>
        <w:spacing w:after="360"/>
        <w:rPr>
          <w:sz w:val="21"/>
          <w:szCs w:val="21"/>
          <w:lang w:val="de-AT"/>
        </w:rPr>
      </w:pPr>
      <w:r w:rsidRPr="001C507A">
        <w:rPr>
          <w:sz w:val="21"/>
          <w:szCs w:val="21"/>
          <w:lang w:val="de-AT"/>
        </w:rPr>
        <w:t xml:space="preserve">Treiblmayr, Christopher/Tretzmüller, Thomas, Das Archiv der Liga bei QWIEN, in: </w:t>
      </w:r>
      <w:r w:rsidRPr="001C507A">
        <w:rPr>
          <w:iCs/>
          <w:sz w:val="21"/>
          <w:szCs w:val="21"/>
          <w:lang w:val="de-AT"/>
        </w:rPr>
        <w:t>Liga-Magazin</w:t>
      </w:r>
      <w:r w:rsidRPr="001C507A">
        <w:rPr>
          <w:sz w:val="21"/>
          <w:szCs w:val="21"/>
          <w:lang w:val="de-AT"/>
        </w:rPr>
        <w:t xml:space="preserve"> 2019, </w:t>
      </w:r>
      <w:r w:rsidR="000915FC" w:rsidRPr="001C507A">
        <w:rPr>
          <w:sz w:val="21"/>
          <w:szCs w:val="21"/>
          <w:lang w:val="de-AT"/>
        </w:rPr>
        <w:t xml:space="preserve">Nr. </w:t>
      </w:r>
      <w:r w:rsidRPr="001C507A">
        <w:rPr>
          <w:sz w:val="21"/>
          <w:szCs w:val="21"/>
          <w:lang w:val="de-AT"/>
        </w:rPr>
        <w:t xml:space="preserve">1, </w:t>
      </w:r>
      <w:r w:rsidR="000915FC" w:rsidRPr="001C507A">
        <w:rPr>
          <w:sz w:val="21"/>
          <w:szCs w:val="21"/>
          <w:lang w:val="de-AT"/>
        </w:rPr>
        <w:t xml:space="preserve">S. </w:t>
      </w:r>
      <w:r w:rsidRPr="001C507A">
        <w:rPr>
          <w:sz w:val="21"/>
          <w:szCs w:val="21"/>
          <w:lang w:val="de-AT"/>
        </w:rPr>
        <w:t>8.</w:t>
      </w:r>
    </w:p>
    <w:p w14:paraId="59FF7FA3" w14:textId="7F625A0D" w:rsidR="0037511C" w:rsidRPr="0037511C" w:rsidRDefault="00251BFB">
      <w:pPr>
        <w:spacing w:after="360"/>
        <w:rPr>
          <w:sz w:val="21"/>
          <w:szCs w:val="21"/>
          <w:lang w:val="de-AT"/>
        </w:rPr>
      </w:pPr>
      <w:r w:rsidRPr="001C507A">
        <w:rPr>
          <w:sz w:val="21"/>
          <w:szCs w:val="21"/>
          <w:lang w:val="de-AT"/>
        </w:rPr>
        <w:t xml:space="preserve">Treiblmayr, Christopher, Die österreichische Zivilgesellschaft und die „Ekstein-Petition“: Ein Appell an den Strafrechtsausschuss des Nationalrates wegen Aufhebung des § 129 b, Wien, 1930/31, in: </w:t>
      </w:r>
      <w:r w:rsidR="004945B5" w:rsidRPr="001C507A">
        <w:rPr>
          <w:sz w:val="21"/>
          <w:szCs w:val="21"/>
          <w:lang w:val="de-AT"/>
        </w:rPr>
        <w:t xml:space="preserve">Martin Lücke/Benno Gammerl/Andrea Rottmann (Hg.), Handbuch queere Zeitgeschichten III. </w:t>
      </w:r>
      <w:proofErr w:type="spellStart"/>
      <w:r w:rsidR="004945B5" w:rsidRPr="0037511C">
        <w:rPr>
          <w:sz w:val="21"/>
          <w:szCs w:val="21"/>
        </w:rPr>
        <w:t>Bewegungen</w:t>
      </w:r>
      <w:proofErr w:type="spellEnd"/>
      <w:r w:rsidR="004945B5" w:rsidRPr="0037511C">
        <w:rPr>
          <w:sz w:val="21"/>
          <w:szCs w:val="21"/>
        </w:rPr>
        <w:t xml:space="preserve">, Bielefeld 2026, </w:t>
      </w:r>
      <w:r w:rsidR="000915FC">
        <w:rPr>
          <w:sz w:val="21"/>
          <w:szCs w:val="21"/>
        </w:rPr>
        <w:t xml:space="preserve">S. </w:t>
      </w:r>
      <w:r w:rsidRPr="0037511C">
        <w:rPr>
          <w:sz w:val="21"/>
          <w:szCs w:val="21"/>
        </w:rPr>
        <w:t>279–290</w:t>
      </w:r>
      <w:r w:rsidR="004945B5" w:rsidRPr="0037511C">
        <w:rPr>
          <w:sz w:val="21"/>
          <w:szCs w:val="21"/>
        </w:rPr>
        <w:t>.</w:t>
      </w:r>
    </w:p>
    <w:sectPr w:rsidR="0037511C" w:rsidRPr="0037511C" w:rsidSect="006F2F1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57F14" w14:textId="77777777" w:rsidR="00E57ECF" w:rsidRDefault="00E57ECF" w:rsidP="007D033E">
      <w:pPr>
        <w:spacing w:after="0" w:line="240" w:lineRule="auto"/>
      </w:pPr>
      <w:r>
        <w:separator/>
      </w:r>
    </w:p>
  </w:endnote>
  <w:endnote w:type="continuationSeparator" w:id="0">
    <w:p w14:paraId="13C2EC12" w14:textId="77777777" w:rsidR="00E57ECF" w:rsidRDefault="00E57ECF" w:rsidP="007D0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0000000000000000000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F853C" w14:textId="77777777" w:rsidR="00E57ECF" w:rsidRDefault="00E57ECF" w:rsidP="007D033E">
      <w:pPr>
        <w:spacing w:after="0" w:line="240" w:lineRule="auto"/>
      </w:pPr>
      <w:r>
        <w:separator/>
      </w:r>
    </w:p>
  </w:footnote>
  <w:footnote w:type="continuationSeparator" w:id="0">
    <w:p w14:paraId="621203ED" w14:textId="77777777" w:rsidR="00E57ECF" w:rsidRDefault="00E57ECF" w:rsidP="007D03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99D06FF"/>
    <w:multiLevelType w:val="hybridMultilevel"/>
    <w:tmpl w:val="367CBE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4602848">
    <w:abstractNumId w:val="8"/>
  </w:num>
  <w:num w:numId="2" w16cid:durableId="2015526609">
    <w:abstractNumId w:val="6"/>
  </w:num>
  <w:num w:numId="3" w16cid:durableId="1510607003">
    <w:abstractNumId w:val="5"/>
  </w:num>
  <w:num w:numId="4" w16cid:durableId="1145052909">
    <w:abstractNumId w:val="4"/>
  </w:num>
  <w:num w:numId="5" w16cid:durableId="1778325392">
    <w:abstractNumId w:val="7"/>
  </w:num>
  <w:num w:numId="6" w16cid:durableId="275910380">
    <w:abstractNumId w:val="3"/>
  </w:num>
  <w:num w:numId="7" w16cid:durableId="951589265">
    <w:abstractNumId w:val="2"/>
  </w:num>
  <w:num w:numId="8" w16cid:durableId="1161238666">
    <w:abstractNumId w:val="1"/>
  </w:num>
  <w:num w:numId="9" w16cid:durableId="1400984966">
    <w:abstractNumId w:val="0"/>
  </w:num>
  <w:num w:numId="10" w16cid:durableId="16894814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915FC"/>
    <w:rsid w:val="000A10F5"/>
    <w:rsid w:val="000F4AC5"/>
    <w:rsid w:val="00112AB0"/>
    <w:rsid w:val="0011570E"/>
    <w:rsid w:val="00135EF4"/>
    <w:rsid w:val="00144D2D"/>
    <w:rsid w:val="0015074B"/>
    <w:rsid w:val="001748EA"/>
    <w:rsid w:val="001A038A"/>
    <w:rsid w:val="001C507A"/>
    <w:rsid w:val="001C5B12"/>
    <w:rsid w:val="001E03C3"/>
    <w:rsid w:val="00251BFB"/>
    <w:rsid w:val="002605D4"/>
    <w:rsid w:val="0029639D"/>
    <w:rsid w:val="002C6443"/>
    <w:rsid w:val="002C7CF4"/>
    <w:rsid w:val="002E0862"/>
    <w:rsid w:val="002E63E3"/>
    <w:rsid w:val="0030553E"/>
    <w:rsid w:val="00326F90"/>
    <w:rsid w:val="00351166"/>
    <w:rsid w:val="0037511C"/>
    <w:rsid w:val="003C27E8"/>
    <w:rsid w:val="003D42FE"/>
    <w:rsid w:val="003E7619"/>
    <w:rsid w:val="00403392"/>
    <w:rsid w:val="004768A3"/>
    <w:rsid w:val="00483A58"/>
    <w:rsid w:val="004945B5"/>
    <w:rsid w:val="004B6CF2"/>
    <w:rsid w:val="004D704D"/>
    <w:rsid w:val="004F0B1E"/>
    <w:rsid w:val="00577FE7"/>
    <w:rsid w:val="005B7BD8"/>
    <w:rsid w:val="005F7F95"/>
    <w:rsid w:val="00626568"/>
    <w:rsid w:val="00681B79"/>
    <w:rsid w:val="006B5C59"/>
    <w:rsid w:val="006F2464"/>
    <w:rsid w:val="006F2F1F"/>
    <w:rsid w:val="007405D0"/>
    <w:rsid w:val="00743467"/>
    <w:rsid w:val="00763ED0"/>
    <w:rsid w:val="007D033E"/>
    <w:rsid w:val="00806013"/>
    <w:rsid w:val="00823E55"/>
    <w:rsid w:val="00851AC6"/>
    <w:rsid w:val="008C25B4"/>
    <w:rsid w:val="00935988"/>
    <w:rsid w:val="00950479"/>
    <w:rsid w:val="009965F6"/>
    <w:rsid w:val="009B4E51"/>
    <w:rsid w:val="009C6A78"/>
    <w:rsid w:val="009E7C8D"/>
    <w:rsid w:val="00A36ED6"/>
    <w:rsid w:val="00AA1D8D"/>
    <w:rsid w:val="00AC793E"/>
    <w:rsid w:val="00AD7DEF"/>
    <w:rsid w:val="00B20034"/>
    <w:rsid w:val="00B43ABD"/>
    <w:rsid w:val="00B44B7F"/>
    <w:rsid w:val="00B47730"/>
    <w:rsid w:val="00B70532"/>
    <w:rsid w:val="00BD3284"/>
    <w:rsid w:val="00C01F42"/>
    <w:rsid w:val="00CB0664"/>
    <w:rsid w:val="00CE396B"/>
    <w:rsid w:val="00D032B7"/>
    <w:rsid w:val="00D53AFB"/>
    <w:rsid w:val="00D610A3"/>
    <w:rsid w:val="00E1027E"/>
    <w:rsid w:val="00E317D8"/>
    <w:rsid w:val="00E43D56"/>
    <w:rsid w:val="00E57ECF"/>
    <w:rsid w:val="00EB272C"/>
    <w:rsid w:val="00EC7D03"/>
    <w:rsid w:val="00F0650D"/>
    <w:rsid w:val="00F25A49"/>
    <w:rsid w:val="00F7518A"/>
    <w:rsid w:val="00F9052E"/>
    <w:rsid w:val="00F972F3"/>
    <w:rsid w:val="00FC39DA"/>
    <w:rsid w:val="00FC693F"/>
    <w:rsid w:val="00FE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9F0F99"/>
  <w14:defaultImageDpi w14:val="330"/>
  <w15:docId w15:val="{FE78865A-2F02-407C-8D26-0E6F29671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Absatz-Standardschriftart"/>
    <w:uiPriority w:val="99"/>
    <w:unhideWhenUsed/>
    <w:rsid w:val="00BD3284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D3284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6F2F1F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681B7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jpg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hyperlink" Target="http://www.liga.or.at/geschichte" TargetMode="External"/><Relationship Id="rId17" Type="http://schemas.openxmlformats.org/officeDocument/2006/relationships/image" Target="media/image7.jpg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ffice@liga.or.a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customXml" Target="../customXml/item4.xml"/><Relationship Id="rId10" Type="http://schemas.openxmlformats.org/officeDocument/2006/relationships/hyperlink" Target="http://www.liga.or.at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426DBF63FA52545A6C72E5E2B321AE8" ma:contentTypeVersion="10" ma:contentTypeDescription="Ein neues Dokument erstellen." ma:contentTypeScope="" ma:versionID="ca551a3babbc59139a5dbe3ff0ac37ae">
  <xsd:schema xmlns:xsd="http://www.w3.org/2001/XMLSchema" xmlns:xs="http://www.w3.org/2001/XMLSchema" xmlns:p="http://schemas.microsoft.com/office/2006/metadata/properties" xmlns:ns2="f242bd1a-42c9-443c-acc9-c971b10b65bb" xmlns:ns3="c45f81d9-b177-427b-bb53-66e2843ed587" targetNamespace="http://schemas.microsoft.com/office/2006/metadata/properties" ma:root="true" ma:fieldsID="1e86d1f979369c54c68cf9c12429a50f" ns2:_="" ns3:_="">
    <xsd:import namespace="f242bd1a-42c9-443c-acc9-c971b10b65bb"/>
    <xsd:import namespace="c45f81d9-b177-427b-bb53-66e2843ed5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42bd1a-42c9-443c-acc9-c971b10b65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ildmarkierungen" ma:readOnly="false" ma:fieldId="{5cf76f15-5ced-4ddc-b409-7134ff3c332f}" ma:taxonomyMulti="true" ma:sspId="9dc7e466-2468-4f71-9315-72f8dd5b77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f81d9-b177-427b-bb53-66e2843ed58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c4355a4-10ac-4b5e-a174-1a86d277ae17}" ma:internalName="TaxCatchAll" ma:showField="CatchAllData" ma:web="c45f81d9-b177-427b-bb53-66e2843ed5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242bd1a-42c9-443c-acc9-c971b10b65bb">
      <Terms xmlns="http://schemas.microsoft.com/office/infopath/2007/PartnerControls"/>
    </lcf76f155ced4ddcb4097134ff3c332f>
    <TaxCatchAll xmlns="c45f81d9-b177-427b-bb53-66e2843ed587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BB4F3B5-92D0-40D9-85E0-F665EA807373}"/>
</file>

<file path=customXml/itemProps3.xml><?xml version="1.0" encoding="utf-8"?>
<ds:datastoreItem xmlns:ds="http://schemas.openxmlformats.org/officeDocument/2006/customXml" ds:itemID="{488DF68B-345A-48BB-AFBB-4274D231C384}"/>
</file>

<file path=customXml/itemProps4.xml><?xml version="1.0" encoding="utf-8"?>
<ds:datastoreItem xmlns:ds="http://schemas.openxmlformats.org/officeDocument/2006/customXml" ds:itemID="{D320E44F-2CE1-489A-940D-7E5E669FE5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491</Words>
  <Characters>3520</Characters>
  <Application>Microsoft Office Word</Application>
  <DocSecurity>0</DocSecurity>
  <Lines>64</Lines>
  <Paragraphs>25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Christopher Treiblmayr</cp:lastModifiedBy>
  <cp:revision>3</cp:revision>
  <cp:lastPrinted>2026-03-06T08:40:00Z</cp:lastPrinted>
  <dcterms:created xsi:type="dcterms:W3CDTF">2026-03-09T14:09:00Z</dcterms:created>
  <dcterms:modified xsi:type="dcterms:W3CDTF">2026-03-09T14:10:00Z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0x010100D426DBF63FA52545A6C72E5E2B321AE8</vt:lpwstr>
  </property>
</Properties>
</file>