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7958F1" w14:textId="153F0243" w:rsidR="00C06557" w:rsidRDefault="00EE4202">
      <w:pPr>
        <w:pStyle w:val="Text"/>
        <w:spacing w:after="240"/>
        <w:rPr>
          <w:b/>
          <w:bCs/>
          <w:sz w:val="28"/>
          <w:szCs w:val="28"/>
        </w:rPr>
      </w:pPr>
      <w:r>
        <w:rPr>
          <w:b/>
          <w:bCs/>
          <w:sz w:val="28"/>
          <w:szCs w:val="28"/>
        </w:rPr>
        <w:br/>
      </w:r>
      <w:r w:rsidR="00C06557" w:rsidRPr="008B27D3">
        <w:rPr>
          <w:b/>
          <w:bCs/>
          <w:sz w:val="28"/>
          <w:szCs w:val="28"/>
        </w:rPr>
        <w:t xml:space="preserve">Die </w:t>
      </w:r>
      <w:r w:rsidR="004F7E28">
        <w:rPr>
          <w:b/>
          <w:bCs/>
          <w:sz w:val="28"/>
          <w:szCs w:val="28"/>
        </w:rPr>
        <w:t xml:space="preserve">römische </w:t>
      </w:r>
      <w:r w:rsidR="00C06557" w:rsidRPr="008B27D3">
        <w:rPr>
          <w:b/>
          <w:bCs/>
          <w:sz w:val="28"/>
          <w:szCs w:val="28"/>
        </w:rPr>
        <w:t xml:space="preserve">Eroberung Jerusalems – ein historischer </w:t>
      </w:r>
      <w:r w:rsidR="00BA0397">
        <w:rPr>
          <w:b/>
          <w:bCs/>
          <w:sz w:val="28"/>
          <w:szCs w:val="28"/>
        </w:rPr>
        <w:t>Wendepunkt</w:t>
      </w:r>
    </w:p>
    <w:p w14:paraId="2532B248" w14:textId="431AEAD0" w:rsidR="008B27D3" w:rsidRDefault="009B4F3B">
      <w:pPr>
        <w:pStyle w:val="Text"/>
        <w:spacing w:after="240"/>
        <w:rPr>
          <w:b/>
          <w:bCs/>
        </w:rPr>
      </w:pPr>
      <w:bookmarkStart w:id="0" w:name="_Hlk224899119"/>
      <w:r w:rsidRPr="002A716E">
        <w:rPr>
          <w:b/>
          <w:bCs/>
        </w:rPr>
        <w:t xml:space="preserve">Ein Ereignis </w:t>
      </w:r>
      <w:r w:rsidR="00C06557" w:rsidRPr="002A716E">
        <w:rPr>
          <w:b/>
          <w:bCs/>
        </w:rPr>
        <w:t>prä</w:t>
      </w:r>
      <w:r w:rsidRPr="002A716E">
        <w:rPr>
          <w:b/>
          <w:bCs/>
          <w:lang w:val="da-DK"/>
        </w:rPr>
        <w:t>gt</w:t>
      </w:r>
      <w:r w:rsidR="002D12F6">
        <w:rPr>
          <w:b/>
          <w:bCs/>
          <w:lang w:val="da-DK"/>
        </w:rPr>
        <w:t>e</w:t>
      </w:r>
      <w:r w:rsidRPr="002A716E">
        <w:rPr>
          <w:b/>
          <w:bCs/>
          <w:lang w:val="da-DK"/>
        </w:rPr>
        <w:t xml:space="preserve"> </w:t>
      </w:r>
      <w:r w:rsidRPr="002A716E">
        <w:rPr>
          <w:b/>
          <w:bCs/>
        </w:rPr>
        <w:t>über Jahrhunderte hinweg</w:t>
      </w:r>
      <w:r w:rsidR="00F67782">
        <w:rPr>
          <w:b/>
          <w:bCs/>
        </w:rPr>
        <w:t xml:space="preserve"> </w:t>
      </w:r>
      <w:r w:rsidR="002D12F6">
        <w:rPr>
          <w:b/>
          <w:bCs/>
        </w:rPr>
        <w:t>die Auslegung von Geschichte</w:t>
      </w:r>
      <w:r w:rsidRPr="002A716E">
        <w:rPr>
          <w:b/>
          <w:bCs/>
        </w:rPr>
        <w:t xml:space="preserve">: </w:t>
      </w:r>
      <w:bookmarkStart w:id="1" w:name="_Hlk224898934"/>
      <w:r w:rsidR="007C19E2">
        <w:rPr>
          <w:b/>
          <w:bCs/>
        </w:rPr>
        <w:t>d</w:t>
      </w:r>
      <w:r w:rsidR="007C19E2" w:rsidRPr="002A716E">
        <w:rPr>
          <w:b/>
          <w:bCs/>
        </w:rPr>
        <w:t xml:space="preserve">ie </w:t>
      </w:r>
      <w:r w:rsidRPr="002A716E">
        <w:rPr>
          <w:b/>
          <w:bCs/>
        </w:rPr>
        <w:t>r</w:t>
      </w:r>
      <w:r w:rsidRPr="002A716E">
        <w:rPr>
          <w:b/>
          <w:bCs/>
          <w:lang w:val="sv-SE"/>
        </w:rPr>
        <w:t>ö</w:t>
      </w:r>
      <w:r w:rsidRPr="002A716E">
        <w:rPr>
          <w:b/>
          <w:bCs/>
        </w:rPr>
        <w:t>mische Eroberung Jerusalems 70 n.</w:t>
      </w:r>
      <w:r w:rsidR="002D12F6">
        <w:rPr>
          <w:b/>
          <w:bCs/>
        </w:rPr>
        <w:t> </w:t>
      </w:r>
      <w:r w:rsidRPr="002A716E">
        <w:rPr>
          <w:b/>
          <w:bCs/>
        </w:rPr>
        <w:t>Chr.</w:t>
      </w:r>
      <w:r w:rsidR="007C19E2">
        <w:rPr>
          <w:b/>
          <w:bCs/>
        </w:rPr>
        <w:t xml:space="preserve"> Sie</w:t>
      </w:r>
      <w:r w:rsidR="00BA0397">
        <w:rPr>
          <w:b/>
          <w:bCs/>
        </w:rPr>
        <w:t xml:space="preserve"> </w:t>
      </w:r>
      <w:r w:rsidR="0082370E">
        <w:rPr>
          <w:b/>
          <w:bCs/>
        </w:rPr>
        <w:t xml:space="preserve">spielte für das Selbstverständnis der </w:t>
      </w:r>
      <w:r w:rsidR="004F7E28">
        <w:rPr>
          <w:b/>
          <w:bCs/>
        </w:rPr>
        <w:t xml:space="preserve">westlichen </w:t>
      </w:r>
      <w:r w:rsidR="0082370E">
        <w:rPr>
          <w:b/>
          <w:bCs/>
        </w:rPr>
        <w:t>Christen</w:t>
      </w:r>
      <w:r w:rsidR="004F7E28">
        <w:rPr>
          <w:b/>
          <w:bCs/>
        </w:rPr>
        <w:t>heit</w:t>
      </w:r>
      <w:r w:rsidR="0082370E">
        <w:rPr>
          <w:b/>
          <w:bCs/>
        </w:rPr>
        <w:t xml:space="preserve"> fortan eine entscheidende Rolle</w:t>
      </w:r>
      <w:r w:rsidR="007C19E2">
        <w:rPr>
          <w:b/>
          <w:bCs/>
        </w:rPr>
        <w:t xml:space="preserve"> und </w:t>
      </w:r>
      <w:r w:rsidR="001910D5">
        <w:rPr>
          <w:b/>
          <w:bCs/>
        </w:rPr>
        <w:t xml:space="preserve">galt als </w:t>
      </w:r>
      <w:r w:rsidR="0091472A" w:rsidRPr="00536E82">
        <w:rPr>
          <w:b/>
          <w:bCs/>
        </w:rPr>
        <w:t>Teil</w:t>
      </w:r>
      <w:r w:rsidR="0091472A">
        <w:rPr>
          <w:b/>
          <w:bCs/>
        </w:rPr>
        <w:t xml:space="preserve"> eines </w:t>
      </w:r>
      <w:r w:rsidR="0091472A" w:rsidRPr="006549F4">
        <w:rPr>
          <w:b/>
          <w:bCs/>
        </w:rPr>
        <w:t xml:space="preserve">göttlichen Plans. </w:t>
      </w:r>
      <w:bookmarkEnd w:id="0"/>
      <w:bookmarkEnd w:id="1"/>
      <w:r w:rsidR="00214F91" w:rsidRPr="006549F4">
        <w:rPr>
          <w:b/>
          <w:bCs/>
        </w:rPr>
        <w:t xml:space="preserve">Der Historiker Alexander Marx </w:t>
      </w:r>
      <w:r w:rsidR="008B27D3" w:rsidRPr="006549F4">
        <w:rPr>
          <w:b/>
          <w:bCs/>
        </w:rPr>
        <w:t>untersucht</w:t>
      </w:r>
      <w:r w:rsidR="00214F91" w:rsidRPr="006549F4">
        <w:rPr>
          <w:b/>
          <w:bCs/>
        </w:rPr>
        <w:t xml:space="preserve"> die Tragweite </w:t>
      </w:r>
      <w:r w:rsidR="008B27D3" w:rsidRPr="006549F4">
        <w:rPr>
          <w:b/>
          <w:bCs/>
        </w:rPr>
        <w:t>dieses historischen M</w:t>
      </w:r>
      <w:r w:rsidR="008B27D3">
        <w:rPr>
          <w:b/>
          <w:bCs/>
        </w:rPr>
        <w:t>oments in Tausenden von mittelal</w:t>
      </w:r>
      <w:r w:rsidR="00BA0397">
        <w:rPr>
          <w:b/>
          <w:bCs/>
        </w:rPr>
        <w:t>terlichen Texten.</w:t>
      </w:r>
    </w:p>
    <w:p w14:paraId="424CBA32" w14:textId="7FEBCDED" w:rsidR="00AB3AD8" w:rsidRPr="00214F91" w:rsidRDefault="009B4F3B" w:rsidP="004F7E28">
      <w:pPr>
        <w:pStyle w:val="Text"/>
        <w:spacing w:after="240"/>
        <w:rPr>
          <w:b/>
          <w:bCs/>
        </w:rPr>
      </w:pPr>
      <w:r>
        <w:br/>
        <w:t>Jerusalem, 70 n.</w:t>
      </w:r>
      <w:r w:rsidR="002D12F6">
        <w:t> </w:t>
      </w:r>
      <w:r>
        <w:t>Chr.: R</w:t>
      </w:r>
      <w:r>
        <w:rPr>
          <w:lang w:val="sv-SE"/>
        </w:rPr>
        <w:t>ö</w:t>
      </w:r>
      <w:r>
        <w:t>mische Truppen erober</w:t>
      </w:r>
      <w:r w:rsidR="001910D5">
        <w:t>te</w:t>
      </w:r>
      <w:r>
        <w:t xml:space="preserve">n die Stadt, </w:t>
      </w:r>
      <w:r w:rsidR="001910D5">
        <w:t xml:space="preserve">schlugen </w:t>
      </w:r>
      <w:r>
        <w:t>einen jüdischen Aufstand nieder und zerst</w:t>
      </w:r>
      <w:r>
        <w:rPr>
          <w:lang w:val="sv-SE"/>
        </w:rPr>
        <w:t>ö</w:t>
      </w:r>
      <w:r>
        <w:t>r</w:t>
      </w:r>
      <w:r w:rsidR="001910D5">
        <w:t>t</w:t>
      </w:r>
      <w:r>
        <w:t xml:space="preserve">en den </w:t>
      </w:r>
      <w:r w:rsidR="00371738">
        <w:t xml:space="preserve">jüdischen </w:t>
      </w:r>
      <w:r>
        <w:t xml:space="preserve">Tempel. Was hier als militärische Intervention </w:t>
      </w:r>
      <w:r w:rsidR="00536E82">
        <w:t>begann</w:t>
      </w:r>
      <w:r>
        <w:t>, markiert</w:t>
      </w:r>
      <w:r w:rsidR="00536E82">
        <w:t>e</w:t>
      </w:r>
      <w:r>
        <w:t xml:space="preserve"> einen Bruch, der weit über die Antike hinausreicht</w:t>
      </w:r>
      <w:r w:rsidR="00536E82">
        <w:t>e</w:t>
      </w:r>
      <w:r>
        <w:t xml:space="preserve">. „Das war wirklich eine </w:t>
      </w:r>
      <w:r w:rsidR="00C06557">
        <w:t>Zäsur für</w:t>
      </w:r>
      <w:r>
        <w:t xml:space="preserve"> das Judentum</w:t>
      </w:r>
      <w:r>
        <w:rPr>
          <w:rtl/>
          <w:lang w:val="ar-SA"/>
        </w:rPr>
        <w:t>“</w:t>
      </w:r>
      <w:r>
        <w:t xml:space="preserve">, sagt der Historiker Alexander Marx von der Österreichischen Akademie der Wissenschaften. Gleichzeitig </w:t>
      </w:r>
      <w:r w:rsidR="00536E82">
        <w:t xml:space="preserve">verschob </w:t>
      </w:r>
      <w:r>
        <w:t xml:space="preserve">sich in diesem Moment etwas Grundlegendes: Eine Bewegung, die bis dahin Teil des Judentums war, </w:t>
      </w:r>
      <w:r w:rsidR="00536E82">
        <w:t xml:space="preserve">begann </w:t>
      </w:r>
      <w:r>
        <w:t>sich als eigene Religion zu formieren. Ohne die Zerst</w:t>
      </w:r>
      <w:r>
        <w:rPr>
          <w:lang w:val="sv-SE"/>
        </w:rPr>
        <w:t>ö</w:t>
      </w:r>
      <w:r>
        <w:t>rung Jerusalems, so Marx, wäre das frühe Christentum wohl eine von vielen jüdischen Str</w:t>
      </w:r>
      <w:r>
        <w:rPr>
          <w:lang w:val="sv-SE"/>
        </w:rPr>
        <w:t>ö</w:t>
      </w:r>
      <w:r>
        <w:t xml:space="preserve">mungen geblieben. Erst dieses Ereignis </w:t>
      </w:r>
      <w:r w:rsidR="00536E82">
        <w:t xml:space="preserve">schuf </w:t>
      </w:r>
      <w:r>
        <w:t>die Bedingungen dafür, dass sich eine neue religi</w:t>
      </w:r>
      <w:r>
        <w:rPr>
          <w:lang w:val="sv-SE"/>
        </w:rPr>
        <w:t>ö</w:t>
      </w:r>
      <w:r>
        <w:t xml:space="preserve">se Ordnung </w:t>
      </w:r>
      <w:r w:rsidR="001910D5">
        <w:t>herausbilden konnte</w:t>
      </w:r>
      <w:r>
        <w:t>.</w:t>
      </w:r>
    </w:p>
    <w:p w14:paraId="148FE463" w14:textId="2A96503C" w:rsidR="00AB3AD8" w:rsidRDefault="009B4F3B" w:rsidP="004F7E28">
      <w:pPr>
        <w:pStyle w:val="Text"/>
        <w:spacing w:before="240" w:after="240"/>
      </w:pPr>
      <w:r>
        <w:t xml:space="preserve">Im Mittelalter </w:t>
      </w:r>
      <w:r w:rsidR="00536E82">
        <w:t xml:space="preserve">wurde </w:t>
      </w:r>
      <w:r>
        <w:t xml:space="preserve">die Eroberung Jerusalems deshalb nicht nur erinnert, sondern immer wieder neu gedeutet: als Strafe, als Warnung oder als </w:t>
      </w:r>
      <w:r w:rsidR="00371738">
        <w:t xml:space="preserve">Schablone zur </w:t>
      </w:r>
      <w:r>
        <w:t xml:space="preserve">Erklärung </w:t>
      </w:r>
      <w:r w:rsidR="00561797">
        <w:t>der</w:t>
      </w:r>
      <w:r>
        <w:t xml:space="preserve"> eigene</w:t>
      </w:r>
      <w:r w:rsidR="00561797">
        <w:t>n</w:t>
      </w:r>
      <w:r>
        <w:t xml:space="preserve"> Gegenwart. Das vom Wissenschaftsfonds FWF </w:t>
      </w:r>
      <w:r w:rsidR="00C06557">
        <w:t xml:space="preserve">geförderte </w:t>
      </w:r>
      <w:r>
        <w:t>Projekt „</w:t>
      </w:r>
      <w:r w:rsidRPr="002A716E">
        <w:t>Medieval Reception of the Roman Conquest of Jerusalem</w:t>
      </w:r>
      <w:r>
        <w:t>“ geht diesen Deutungen nach und zeigt, wie ein einzelnes Ereignis über Jahrhunderte hinweg zur Folie</w:t>
      </w:r>
      <w:r w:rsidR="00C06557">
        <w:t xml:space="preserve"> für </w:t>
      </w:r>
      <w:r>
        <w:rPr>
          <w:lang w:val="sv-SE"/>
        </w:rPr>
        <w:t>religiö</w:t>
      </w:r>
      <w:r>
        <w:t>se, politische und gesellschaftliche Vorstellungen</w:t>
      </w:r>
      <w:r w:rsidR="00A03EFD">
        <w:t xml:space="preserve"> und Handlungen</w:t>
      </w:r>
      <w:r>
        <w:t xml:space="preserve"> </w:t>
      </w:r>
      <w:r w:rsidR="001910D5">
        <w:t>werden konnte</w:t>
      </w:r>
      <w:r>
        <w:t>.</w:t>
      </w:r>
    </w:p>
    <w:p w14:paraId="6F3963BB" w14:textId="6390CBB0" w:rsidR="00AB3AD8" w:rsidRDefault="009B4F3B">
      <w:pPr>
        <w:pStyle w:val="Text"/>
        <w:spacing w:after="240"/>
        <w:rPr>
          <w:b/>
          <w:bCs/>
        </w:rPr>
      </w:pPr>
      <w:r>
        <w:rPr>
          <w:b/>
          <w:bCs/>
        </w:rPr>
        <w:t>Ein Ereignis als Deutungsschablone</w:t>
      </w:r>
    </w:p>
    <w:p w14:paraId="744BA280" w14:textId="60D1242F" w:rsidR="0082370E" w:rsidRDefault="00700890">
      <w:pPr>
        <w:pStyle w:val="Text"/>
        <w:spacing w:after="240"/>
      </w:pPr>
      <w:r>
        <w:t>D</w:t>
      </w:r>
      <w:r w:rsidR="009B4F3B">
        <w:t xml:space="preserve">as Ereignis </w:t>
      </w:r>
      <w:r w:rsidR="00536E82">
        <w:t xml:space="preserve">wurde </w:t>
      </w:r>
      <w:r w:rsidR="009B4F3B">
        <w:t>bereits von Kirchenvätern im 4.</w:t>
      </w:r>
      <w:r w:rsidR="00AA6908">
        <w:t> </w:t>
      </w:r>
      <w:r w:rsidR="009B4F3B">
        <w:t xml:space="preserve">Jahrhundert aufgegriffen und bis ins </w:t>
      </w:r>
      <w:r w:rsidR="00371738">
        <w:t>Spät</w:t>
      </w:r>
      <w:r w:rsidR="009B4F3B">
        <w:t xml:space="preserve">mittelalter, </w:t>
      </w:r>
      <w:r w:rsidR="00EE7FDC">
        <w:t xml:space="preserve">bis </w:t>
      </w:r>
      <w:r w:rsidR="009B4F3B">
        <w:t>in die Zeit der Kreuzzüge</w:t>
      </w:r>
      <w:r>
        <w:t xml:space="preserve"> und der Universität Paris</w:t>
      </w:r>
      <w:r w:rsidRPr="006549F4">
        <w:t xml:space="preserve">, </w:t>
      </w:r>
      <w:r w:rsidR="007A59F4">
        <w:t xml:space="preserve">ausführlich </w:t>
      </w:r>
      <w:r>
        <w:t>rezipiert</w:t>
      </w:r>
      <w:r w:rsidR="009B4F3B">
        <w:t xml:space="preserve">. Geschichte </w:t>
      </w:r>
      <w:r w:rsidR="00536E82">
        <w:t xml:space="preserve">wurde </w:t>
      </w:r>
      <w:r w:rsidR="009B4F3B">
        <w:t xml:space="preserve">in dieser Zeit nicht primär als Abfolge von Ereignissen verstanden, sondern als Heilsgeschichte – als Teil eines </w:t>
      </w:r>
      <w:r w:rsidR="00C06557">
        <w:t>göttlichen</w:t>
      </w:r>
      <w:r w:rsidR="009B4F3B">
        <w:t xml:space="preserve"> Plans, in dem sich Bedeutung erst durch Deutung</w:t>
      </w:r>
      <w:r w:rsidR="00371738">
        <w:t xml:space="preserve">, primär durch die Methode der Bibelexegese, </w:t>
      </w:r>
      <w:r w:rsidR="009B4F3B">
        <w:t>entfaltet</w:t>
      </w:r>
      <w:r w:rsidR="001910D5">
        <w:t>e</w:t>
      </w:r>
      <w:r w:rsidR="009B4F3B">
        <w:t xml:space="preserve">. In diesem Zusammenhang </w:t>
      </w:r>
      <w:r w:rsidR="00536E82">
        <w:t xml:space="preserve">wurde </w:t>
      </w:r>
      <w:r w:rsidR="009B4F3B">
        <w:t>die r</w:t>
      </w:r>
      <w:r w:rsidR="009B4F3B">
        <w:rPr>
          <w:lang w:val="sv-SE"/>
        </w:rPr>
        <w:t>ö</w:t>
      </w:r>
      <w:r w:rsidR="009B4F3B">
        <w:t>mische Eroberung Jerusalems zu einem zentralen Knotenpunkt. „Im Tandem mit der Passion Christi“ ergebe sie „die Trennlinie zwischen Judentum und Christentum</w:t>
      </w:r>
      <w:r w:rsidR="009B4F3B">
        <w:rPr>
          <w:rtl/>
          <w:lang w:val="ar-SA"/>
        </w:rPr>
        <w:t>“</w:t>
      </w:r>
      <w:r w:rsidR="009B4F3B">
        <w:t xml:space="preserve">, so Marx. Dabei verweist er auf eine </w:t>
      </w:r>
      <w:r w:rsidR="009B4F3B" w:rsidRPr="000B2E88">
        <w:t>Deutung, die sich über Jahrhunderte hinweg wiederholt</w:t>
      </w:r>
      <w:r w:rsidR="000B2E88">
        <w:t>e</w:t>
      </w:r>
      <w:r w:rsidR="009B4F3B" w:rsidRPr="000B2E88">
        <w:t xml:space="preserve">: Die rund 40 </w:t>
      </w:r>
      <w:r w:rsidR="009B4F3B" w:rsidRPr="00EE7FDC">
        <w:t xml:space="preserve">Jahre zwischen der Kreuzigung Christi und der </w:t>
      </w:r>
      <w:r w:rsidR="004F7E28">
        <w:t>Zerstörung</w:t>
      </w:r>
      <w:r w:rsidR="009B4F3B" w:rsidRPr="00EE7FDC">
        <w:t xml:space="preserve"> Jerusalems </w:t>
      </w:r>
      <w:r w:rsidR="000B2E88" w:rsidRPr="00EE7FDC">
        <w:t>wurden</w:t>
      </w:r>
      <w:r w:rsidR="000B2E88" w:rsidRPr="000B2E88">
        <w:t xml:space="preserve"> </w:t>
      </w:r>
      <w:r w:rsidR="009B4F3B" w:rsidRPr="00EE7FDC">
        <w:t xml:space="preserve">als Frist verstanden, die Gott den Juden zur Umkehr gewährt habe. Dass diese ungenutzt blieb, </w:t>
      </w:r>
      <w:r w:rsidR="000B2E88" w:rsidRPr="00EE7FDC">
        <w:t>wurde</w:t>
      </w:r>
      <w:r w:rsidR="000B2E88" w:rsidRPr="000B2E88">
        <w:t xml:space="preserve"> </w:t>
      </w:r>
      <w:r w:rsidR="009B4F3B" w:rsidRPr="00EE7FDC">
        <w:t xml:space="preserve">als </w:t>
      </w:r>
      <w:r w:rsidR="00C06557" w:rsidRPr="00EE7FDC">
        <w:t>göttliche</w:t>
      </w:r>
      <w:r w:rsidR="009B4F3B" w:rsidRPr="00EE7FDC">
        <w:t xml:space="preserve"> Strafe interpretiert, „um </w:t>
      </w:r>
      <w:r w:rsidR="00371738" w:rsidRPr="00EE7FDC">
        <w:t>so</w:t>
      </w:r>
      <w:r w:rsidR="00561797" w:rsidRPr="00EE7FDC">
        <w:t>mit</w:t>
      </w:r>
      <w:r w:rsidR="00371738" w:rsidRPr="00EE7FDC">
        <w:t xml:space="preserve"> </w:t>
      </w:r>
      <w:r w:rsidR="009B4F3B" w:rsidRPr="00EE7FDC">
        <w:t>Rache für die Kreuzigung zu nehmen</w:t>
      </w:r>
      <w:r w:rsidR="009B4F3B" w:rsidRPr="00EE7FDC">
        <w:rPr>
          <w:rtl/>
          <w:lang w:val="ar-SA"/>
        </w:rPr>
        <w:t>“</w:t>
      </w:r>
      <w:r w:rsidR="009B4F3B" w:rsidRPr="00EE7FDC">
        <w:t>, so Marx.</w:t>
      </w:r>
    </w:p>
    <w:p w14:paraId="07B3FEDD" w14:textId="038CDFB5" w:rsidR="00AB3AD8" w:rsidRDefault="009B4F3B">
      <w:pPr>
        <w:pStyle w:val="Text"/>
        <w:spacing w:after="240"/>
      </w:pPr>
      <w:r>
        <w:t xml:space="preserve">Dieses Deutungsmuster </w:t>
      </w:r>
      <w:r w:rsidR="00536E82">
        <w:t xml:space="preserve">wurde </w:t>
      </w:r>
      <w:r>
        <w:t xml:space="preserve">im Mittelalter immer wieder auf neue Kontexte übertragen. Vergangenes </w:t>
      </w:r>
      <w:r w:rsidR="00536E82">
        <w:t xml:space="preserve">wurde </w:t>
      </w:r>
      <w:r>
        <w:t xml:space="preserve">zur Folie für </w:t>
      </w:r>
      <w:r w:rsidR="00A03EFD">
        <w:t xml:space="preserve">die </w:t>
      </w:r>
      <w:r>
        <w:t xml:space="preserve">Gegenwart, Ereignisse </w:t>
      </w:r>
      <w:r w:rsidR="00536E82">
        <w:t xml:space="preserve">erschienen </w:t>
      </w:r>
      <w:r>
        <w:t xml:space="preserve">als </w:t>
      </w:r>
      <w:r w:rsidRPr="00676AE8">
        <w:t xml:space="preserve">Wiederholungen, Jerusalem </w:t>
      </w:r>
      <w:r w:rsidR="00676AE8">
        <w:t xml:space="preserve">diente </w:t>
      </w:r>
      <w:r w:rsidRPr="00676AE8">
        <w:t>als wiederkehrender Bezugspunkt</w:t>
      </w:r>
      <w:r w:rsidR="00371738" w:rsidRPr="00676AE8">
        <w:t xml:space="preserve">, die römischen Kaiser </w:t>
      </w:r>
      <w:r w:rsidR="00676AE8">
        <w:t xml:space="preserve">galten </w:t>
      </w:r>
      <w:r w:rsidR="00371738" w:rsidRPr="00676AE8">
        <w:t>als</w:t>
      </w:r>
      <w:r w:rsidR="00371738">
        <w:t xml:space="preserve"> zu imitierende </w:t>
      </w:r>
      <w:proofErr w:type="spellStart"/>
      <w:r w:rsidR="00A03EFD">
        <w:t>R</w:t>
      </w:r>
      <w:r w:rsidR="00371738">
        <w:t>ole</w:t>
      </w:r>
      <w:proofErr w:type="spellEnd"/>
      <w:r w:rsidR="00536E82">
        <w:t>-</w:t>
      </w:r>
      <w:r w:rsidR="00A03EFD">
        <w:t>M</w:t>
      </w:r>
      <w:r w:rsidR="00371738">
        <w:t>odels</w:t>
      </w:r>
      <w:r>
        <w:t xml:space="preserve">. Es </w:t>
      </w:r>
      <w:r w:rsidR="00800348">
        <w:t xml:space="preserve">entstanden </w:t>
      </w:r>
      <w:r>
        <w:t>„typologische Kausalitäten</w:t>
      </w:r>
      <w:r>
        <w:rPr>
          <w:rtl/>
          <w:lang w:val="ar-SA"/>
        </w:rPr>
        <w:t>“</w:t>
      </w:r>
      <w:r>
        <w:t>, die Sinnzusammenhänge</w:t>
      </w:r>
      <w:r w:rsidR="00700890">
        <w:t xml:space="preserve"> </w:t>
      </w:r>
      <w:r w:rsidR="00700890">
        <w:lastRenderedPageBreak/>
        <w:t>zwischen weit entfernten Ereignissen</w:t>
      </w:r>
      <w:r>
        <w:t xml:space="preserve"> herstell</w:t>
      </w:r>
      <w:r w:rsidR="00800348">
        <w:t>t</w:t>
      </w:r>
      <w:r>
        <w:t xml:space="preserve">en. Ein besonders eindrückliches Beispiel findet sich etwa in einer Predigt </w:t>
      </w:r>
      <w:r w:rsidRPr="006549F4">
        <w:t xml:space="preserve">des </w:t>
      </w:r>
      <w:r w:rsidR="00700890" w:rsidRPr="006549F4">
        <w:t xml:space="preserve">Augustiner-Chorherren </w:t>
      </w:r>
      <w:r w:rsidRPr="006549F4">
        <w:t>Martin von Le</w:t>
      </w:r>
      <w:r w:rsidRPr="006549F4">
        <w:rPr>
          <w:lang w:val="es-ES_tradnl"/>
        </w:rPr>
        <w:t>ó</w:t>
      </w:r>
      <w:r w:rsidRPr="006549F4">
        <w:t>n</w:t>
      </w:r>
      <w:r>
        <w:t xml:space="preserve"> zum Dritten Kreuzzug. In seiner rhetorischen Zuspitzung adressiert</w:t>
      </w:r>
      <w:r w:rsidR="00F3338D">
        <w:t>e</w:t>
      </w:r>
      <w:r>
        <w:t xml:space="preserve"> er sein Publikum wiederholt als Juden, obwohl er</w:t>
      </w:r>
      <w:r w:rsidR="00700890">
        <w:t xml:space="preserve"> eindeutig</w:t>
      </w:r>
      <w:r>
        <w:t xml:space="preserve"> zu Christen </w:t>
      </w:r>
      <w:r w:rsidR="00F3338D">
        <w:t>sprach</w:t>
      </w:r>
      <w:r>
        <w:t>. Die implizite Botschaft: Wer nicht handelt, verliert seinen Status</w:t>
      </w:r>
      <w:r w:rsidR="00700890">
        <w:t xml:space="preserve"> als Gottes erwähltes Volk</w:t>
      </w:r>
      <w:r>
        <w:t>. „Wenn ihr jetzt nicht auf Kreuzzug geht, dann passiert euch das Gleiche [wie damals].“ Die Deutung der Vergangenheit wird hier zum politischen Instrument, das zur Teilnahme am Kreuzzug motivieren soll.</w:t>
      </w:r>
    </w:p>
    <w:p w14:paraId="5FDFF615" w14:textId="77777777" w:rsidR="008733FE" w:rsidRDefault="009B4F3B">
      <w:pPr>
        <w:pStyle w:val="Text"/>
        <w:spacing w:before="240" w:after="240"/>
      </w:pPr>
      <w:r>
        <w:t xml:space="preserve">Dabei ist eine zentrale Quelle </w:t>
      </w:r>
      <w:r w:rsidR="00C06557">
        <w:t>für</w:t>
      </w:r>
      <w:r w:rsidRPr="00800348">
        <w:rPr>
          <w:lang w:val="de-AT"/>
        </w:rPr>
        <w:t xml:space="preserve"> Marx der </w:t>
      </w:r>
      <w:r w:rsidR="00C06557" w:rsidRPr="00800348">
        <w:rPr>
          <w:lang w:val="de-AT"/>
        </w:rPr>
        <w:t>jüdische</w:t>
      </w:r>
      <w:r w:rsidRPr="006549F4">
        <w:t xml:space="preserve"> Historiker Flavius Josephus</w:t>
      </w:r>
      <w:r>
        <w:t xml:space="preserve">, der den </w:t>
      </w:r>
      <w:r w:rsidRPr="006549F4">
        <w:t>Jüdischen Krieg als</w:t>
      </w:r>
      <w:r>
        <w:t xml:space="preserve"> Zeitzeuge </w:t>
      </w:r>
      <w:r w:rsidR="00800348">
        <w:t>beschrieb</w:t>
      </w:r>
      <w:r>
        <w:t xml:space="preserve"> und im Mittelalter breit rezipiert wurde. Doch anstatt seine Darstellung unverändert zu übernehmen, </w:t>
      </w:r>
      <w:r w:rsidR="00676AE8">
        <w:t xml:space="preserve">griffen </w:t>
      </w:r>
      <w:r>
        <w:t xml:space="preserve">mittelalterliche Autoren selektiv darauf zurück, </w:t>
      </w:r>
      <w:r w:rsidR="00676AE8">
        <w:t xml:space="preserve">ließen </w:t>
      </w:r>
      <w:r>
        <w:t>Details weg oder deute</w:t>
      </w:r>
      <w:r w:rsidR="00676AE8">
        <w:t>te</w:t>
      </w:r>
      <w:r>
        <w:t xml:space="preserve">n sie um, „weil das, was Flavius Josephus schreibt, nicht </w:t>
      </w:r>
      <w:r w:rsidR="00700890">
        <w:t xml:space="preserve">immer </w:t>
      </w:r>
      <w:r>
        <w:t xml:space="preserve">in </w:t>
      </w:r>
      <w:r w:rsidR="00700890">
        <w:t xml:space="preserve">die </w:t>
      </w:r>
      <w:r>
        <w:t>christliche Vision von Geschichte passt“</w:t>
      </w:r>
      <w:r w:rsidR="00AA6908">
        <w:t>.</w:t>
      </w:r>
      <w:r>
        <w:t xml:space="preserve"> Geschichte erscheint damit nicht als neutrale Überlieferung, sondern als interpretativer Raum. Um diese Dynamiken sichtbar zu machen, arbeitet das Projekt mit einer Vielzahl an Quellen: Chroniken, Predigten, Bibelkommentare</w:t>
      </w:r>
      <w:r w:rsidR="00AA6908">
        <w:t>n</w:t>
      </w:r>
      <w:r w:rsidR="00700890">
        <w:t xml:space="preserve"> – und das oft direkt in ihrer h</w:t>
      </w:r>
      <w:r>
        <w:t>andschrift</w:t>
      </w:r>
      <w:r w:rsidR="00700890">
        <w:t>lichen Überlieferung</w:t>
      </w:r>
      <w:r>
        <w:t xml:space="preserve">. </w:t>
      </w:r>
    </w:p>
    <w:p w14:paraId="1F451690" w14:textId="397530DA" w:rsidR="00AB3AD8" w:rsidRDefault="009B4F3B">
      <w:pPr>
        <w:pStyle w:val="Text"/>
        <w:spacing w:before="240" w:after="240"/>
      </w:pPr>
      <w:r>
        <w:t xml:space="preserve">Chroniken bleiben oft knapp, während Predigten und exegetische Texte ausführlicher darlegen, welche Bedeutung einem Ereignis zugeschrieben wird. Entscheidend ist dabei nicht der einzelne Text, sondern die Vielzahl. „In </w:t>
      </w:r>
      <w:r w:rsidR="00371738">
        <w:t xml:space="preserve">einer großen </w:t>
      </w:r>
      <w:r>
        <w:t xml:space="preserve">Menge </w:t>
      </w:r>
      <w:r w:rsidR="00371738">
        <w:t xml:space="preserve">von Quellen lassen sich die dominanten </w:t>
      </w:r>
      <w:r>
        <w:t>Ideen</w:t>
      </w:r>
      <w:r w:rsidR="00371738">
        <w:t xml:space="preserve"> einer Epoche </w:t>
      </w:r>
      <w:r w:rsidR="00561797">
        <w:t>ausmachen</w:t>
      </w:r>
      <w:r>
        <w:t xml:space="preserve">.“ Predigten nehmen dabei eine besondere Rolle ein: Sie „stehen wirklich an der Schnittstelle zur breiten Gesellschaft“ </w:t>
      </w:r>
      <w:r w:rsidRPr="002D12F6">
        <w:t xml:space="preserve">und </w:t>
      </w:r>
      <w:r w:rsidRPr="00800348">
        <w:t>hatten</w:t>
      </w:r>
      <w:r w:rsidRPr="002D12F6">
        <w:t xml:space="preserve"> den Anspruch</w:t>
      </w:r>
      <w:r>
        <w:t>, ein breites Publikum zu erreichen</w:t>
      </w:r>
      <w:r w:rsidR="00700890">
        <w:t>, zu unterrichten und zu diversen Handlungen anzustacheln</w:t>
      </w:r>
      <w:r>
        <w:t>. Der Vergleich unterschiedlicher Quellen</w:t>
      </w:r>
      <w:r w:rsidR="00700890">
        <w:t xml:space="preserve">, über Genres und Jahrhunderte hinweg, </w:t>
      </w:r>
      <w:r>
        <w:t xml:space="preserve">wird so zur Methode: „Alleine durch diesen Kontrast [zwischen den einzelnen Schriften] sehe ich </w:t>
      </w:r>
      <w:r w:rsidR="00700890">
        <w:t>etwas</w:t>
      </w:r>
      <w:r>
        <w:t>, das ich sonst nicht sehen würde.</w:t>
      </w:r>
      <w:r>
        <w:rPr>
          <w:rtl/>
          <w:lang w:val="ar-SA"/>
        </w:rPr>
        <w:t>“</w:t>
      </w:r>
    </w:p>
    <w:p w14:paraId="387F6795" w14:textId="77777777" w:rsidR="00AB3AD8" w:rsidRDefault="009B4F3B">
      <w:pPr>
        <w:pStyle w:val="Text"/>
        <w:spacing w:after="240"/>
        <w:rPr>
          <w:b/>
          <w:bCs/>
        </w:rPr>
      </w:pPr>
      <w:r>
        <w:rPr>
          <w:b/>
          <w:bCs/>
        </w:rPr>
        <w:t>Wie sich Geschichte lesen lässt</w:t>
      </w:r>
    </w:p>
    <w:p w14:paraId="04C29FB2" w14:textId="77777777" w:rsidR="008733FE" w:rsidRDefault="009B4F3B">
      <w:pPr>
        <w:pStyle w:val="Text"/>
        <w:spacing w:after="240"/>
      </w:pPr>
      <w:r>
        <w:t xml:space="preserve">Durch die Vielzahl an Quellen entstand rasch der Bedarf </w:t>
      </w:r>
      <w:r w:rsidR="00AA6908">
        <w:t xml:space="preserve">an </w:t>
      </w:r>
      <w:r>
        <w:t xml:space="preserve">einer systematischen Erfassung. In Zusammenarbeit mit </w:t>
      </w:r>
      <w:r w:rsidRPr="006549F4">
        <w:t>dem Austrian Centre for Digital Humanities (ACDH)</w:t>
      </w:r>
      <w:r w:rsidRPr="00800348">
        <w:t xml:space="preserve"> der</w:t>
      </w:r>
      <w:r>
        <w:t xml:space="preserve"> Österreichischen Akademie der Wissenschaften (ÖAW) ent</w:t>
      </w:r>
      <w:r w:rsidR="00B129A1">
        <w:t>steht</w:t>
      </w:r>
      <w:r>
        <w:t xml:space="preserve"> eine Datenbank, die als zentrales Werkzeug </w:t>
      </w:r>
      <w:r w:rsidR="00371738">
        <w:t xml:space="preserve">innerhalb </w:t>
      </w:r>
      <w:r>
        <w:t>des Projekts dient. Diese „bündelt erstmals rund 2.500 Quellen</w:t>
      </w:r>
      <w:r w:rsidR="00B129A1">
        <w:t xml:space="preserve">, inklusive etwa 500 </w:t>
      </w:r>
      <w:r w:rsidR="00C06557">
        <w:t>unpublizierter</w:t>
      </w:r>
      <w:r w:rsidR="00B129A1">
        <w:t xml:space="preserve"> Textstellen</w:t>
      </w:r>
      <w:r>
        <w:rPr>
          <w:rtl/>
          <w:lang w:val="ar-SA"/>
        </w:rPr>
        <w:t>“</w:t>
      </w:r>
      <w:r>
        <w:t>, so Alexander Marx. Dadurch wird sichtbar, welche Zusammenhänge zwischen den Quellen bestehen, wer von wem abgeschrieben hat und welche textuellen Traditionen sich durch das Mittelalter ziehen. „Das ergibt so etwas wie eine ‚</w:t>
      </w:r>
      <w:r w:rsidRPr="00800348">
        <w:rPr>
          <w:lang w:val="de-AT"/>
        </w:rPr>
        <w:t>textuelle Arch</w:t>
      </w:r>
      <w:r>
        <w:t>ä</w:t>
      </w:r>
      <w:r w:rsidRPr="00800348">
        <w:rPr>
          <w:lang w:val="de-AT"/>
        </w:rPr>
        <w:t>ologie</w:t>
      </w:r>
      <w:r>
        <w:rPr>
          <w:rtl/>
        </w:rPr>
        <w:t>‘</w:t>
      </w:r>
      <w:r>
        <w:t>, die es in dieser Form meines Wissens noch nicht gibt</w:t>
      </w:r>
      <w:r>
        <w:rPr>
          <w:rtl/>
          <w:lang w:val="ar-SA"/>
        </w:rPr>
        <w:t>“</w:t>
      </w:r>
      <w:r>
        <w:t xml:space="preserve">, sagt der Historiker. </w:t>
      </w:r>
    </w:p>
    <w:p w14:paraId="0AB58DBB" w14:textId="45345C38" w:rsidR="00AB3AD8" w:rsidRDefault="009B4F3B">
      <w:pPr>
        <w:pStyle w:val="Text"/>
        <w:spacing w:after="240"/>
      </w:pPr>
      <w:r>
        <w:t xml:space="preserve">Die Datenbank </w:t>
      </w:r>
      <w:r w:rsidR="00C06557" w:rsidRPr="002D12F6">
        <w:t>ermöglicht</w:t>
      </w:r>
      <w:r w:rsidRPr="007C19E2">
        <w:t xml:space="preserve"> zudem</w:t>
      </w:r>
      <w:r>
        <w:t xml:space="preserve">, über den konkreten Gegenstand hinaus auf größere historische Zusammenhänge zu blicken. Berührt werden </w:t>
      </w:r>
      <w:r w:rsidR="00306AA6">
        <w:t xml:space="preserve">wichtige </w:t>
      </w:r>
      <w:r>
        <w:t>Themenfelder wie Antijudaismus, Kreuzzüge oder Apokalyptik. „Ich hoffe, dass die Datenbank auch für Forschende in diesen Bereichen ein nützliches Werkzeug sein kann</w:t>
      </w:r>
      <w:r>
        <w:rPr>
          <w:rtl/>
          <w:lang w:val="ar-SA"/>
        </w:rPr>
        <w:t>“</w:t>
      </w:r>
      <w:r>
        <w:t xml:space="preserve">, so Marx. Schon seine Ergebnisse </w:t>
      </w:r>
      <w:r w:rsidRPr="006549F4">
        <w:t xml:space="preserve">zu </w:t>
      </w:r>
      <w:r w:rsidRPr="00800348">
        <w:t>Martin von Le</w:t>
      </w:r>
      <w:r w:rsidRPr="00800348">
        <w:rPr>
          <w:lang w:val="es-ES_tradnl"/>
        </w:rPr>
        <w:t>ó</w:t>
      </w:r>
      <w:r w:rsidRPr="00800348">
        <w:t>n zeigen, wie</w:t>
      </w:r>
      <w:r>
        <w:t xml:space="preserve"> die r</w:t>
      </w:r>
      <w:r>
        <w:rPr>
          <w:lang w:val="sv-SE"/>
        </w:rPr>
        <w:t>ö</w:t>
      </w:r>
      <w:r>
        <w:t xml:space="preserve">mische Eroberung Jerusalems historisch immer wieder dazu diente, antijüdische Ideen zu formulieren. Grundsätzlich lädt das Projekt </w:t>
      </w:r>
      <w:r>
        <w:lastRenderedPageBreak/>
        <w:t>dazu ein, „</w:t>
      </w:r>
      <w:r w:rsidR="001B16C5">
        <w:t xml:space="preserve">die größeren </w:t>
      </w:r>
      <w:r>
        <w:t xml:space="preserve">Narrative </w:t>
      </w:r>
      <w:r w:rsidR="001B16C5">
        <w:t xml:space="preserve">zur mittelalterlichen Epoche </w:t>
      </w:r>
      <w:r>
        <w:t>zu hinterfragen und genauer zu untersuchen, wie sich solche Denkweisen langfristig herausbilde</w:t>
      </w:r>
      <w:r w:rsidR="001B16C5">
        <w:t>te</w:t>
      </w:r>
      <w:r>
        <w:t>n</w:t>
      </w:r>
      <w:r>
        <w:rPr>
          <w:rtl/>
          <w:lang w:val="ar-SA"/>
        </w:rPr>
        <w:t>“</w:t>
      </w:r>
      <w:r>
        <w:t>.</w:t>
      </w:r>
    </w:p>
    <w:p w14:paraId="720B0729" w14:textId="545F7981" w:rsidR="00AB3AD8" w:rsidRDefault="009B4F3B">
      <w:pPr>
        <w:pStyle w:val="Text"/>
        <w:spacing w:before="240" w:after="240"/>
      </w:pPr>
      <w:r>
        <w:t>Somit ist die r</w:t>
      </w:r>
      <w:r>
        <w:rPr>
          <w:lang w:val="sv-SE"/>
        </w:rPr>
        <w:t>ö</w:t>
      </w:r>
      <w:r>
        <w:t>mische Eroberung Jerusalems um 70</w:t>
      </w:r>
      <w:r w:rsidR="00AA6908">
        <w:t> </w:t>
      </w:r>
      <w:r>
        <w:t>n.</w:t>
      </w:r>
      <w:r w:rsidR="00AA6908">
        <w:t> </w:t>
      </w:r>
      <w:r>
        <w:t>Chr. nicht einfach nur ein historisches Ereignis, sondern wird zu einem fortlaufenden Deutungsprozess</w:t>
      </w:r>
      <w:r w:rsidR="00A03EFD">
        <w:t xml:space="preserve"> quer durch die westliche Geschichte.</w:t>
      </w:r>
      <w:r w:rsidR="000373C0">
        <w:t xml:space="preserve"> </w:t>
      </w:r>
      <w:r>
        <w:t>Die Beschäftigung damit zeigt, wie Vergangenheit immer wieder aktualisiert wird. Gleichzeitig wird deutlich, dass auch die Forschung kein statisches Feld ist</w:t>
      </w:r>
      <w:r w:rsidR="001B16C5">
        <w:t xml:space="preserve"> und dass </w:t>
      </w:r>
      <w:r w:rsidR="007C19E2">
        <w:t xml:space="preserve">selbst </w:t>
      </w:r>
      <w:r w:rsidR="00A03EFD">
        <w:t xml:space="preserve">aus dem </w:t>
      </w:r>
      <w:r w:rsidR="001B16C5">
        <w:t xml:space="preserve">Mittelalter noch viele unbeachtete Quellen </w:t>
      </w:r>
      <w:r w:rsidR="007C19E2">
        <w:t xml:space="preserve">darauf </w:t>
      </w:r>
      <w:r w:rsidR="001B16C5">
        <w:t>warten</w:t>
      </w:r>
      <w:r w:rsidR="007C19E2">
        <w:t>, erschlossen zu werden</w:t>
      </w:r>
      <w:r>
        <w:t>. „Überraschungen gibt es immer wieder</w:t>
      </w:r>
      <w:r>
        <w:rPr>
          <w:rtl/>
          <w:lang w:val="ar-SA"/>
        </w:rPr>
        <w:t>“</w:t>
      </w:r>
      <w:r>
        <w:t>, erzählt Alexander Marx</w:t>
      </w:r>
      <w:r w:rsidR="007C19E2">
        <w:t>,</w:t>
      </w:r>
      <w:r>
        <w:t xml:space="preserve"> und mit jedem Detail verschiebt sich der Blick auf Geschichte ein Stück.</w:t>
      </w:r>
    </w:p>
    <w:p w14:paraId="17441CEF" w14:textId="4D9E5EFE" w:rsidR="002A716E" w:rsidRPr="002A716E" w:rsidRDefault="002A716E">
      <w:pPr>
        <w:pStyle w:val="Text"/>
        <w:spacing w:before="240" w:after="240"/>
        <w:rPr>
          <w:b/>
          <w:bCs/>
        </w:rPr>
      </w:pPr>
      <w:r w:rsidRPr="002A716E">
        <w:rPr>
          <w:b/>
          <w:bCs/>
        </w:rPr>
        <w:t>Zur Person</w:t>
      </w:r>
    </w:p>
    <w:p w14:paraId="3E152A3F" w14:textId="25BD396A" w:rsidR="002A716E" w:rsidRDefault="00EE4202">
      <w:pPr>
        <w:pStyle w:val="Text"/>
        <w:spacing w:before="240" w:after="240"/>
      </w:pPr>
      <w:hyperlink r:id="rId6" w:history="1">
        <w:r w:rsidR="009B4F3B" w:rsidRPr="004F7E28">
          <w:rPr>
            <w:rStyle w:val="Hyperlink0"/>
            <w:b/>
            <w:bCs/>
          </w:rPr>
          <w:t>Alexander Marx</w:t>
        </w:r>
      </w:hyperlink>
      <w:r w:rsidR="009B4F3B">
        <w:t xml:space="preserve"> ist Historiker an der Österreichischen Akademie der Wissenschaften (ÖAW). In seiner Forschung beschäftigt er sich mit mittelalterlicher Geistesgeschichte</w:t>
      </w:r>
      <w:r w:rsidR="00800348">
        <w:t xml:space="preserve"> </w:t>
      </w:r>
      <w:r w:rsidR="007C19E2">
        <w:t xml:space="preserve">und </w:t>
      </w:r>
      <w:r w:rsidR="009B4F3B">
        <w:t>Predigtkultur</w:t>
      </w:r>
      <w:r w:rsidR="001B16C5">
        <w:t xml:space="preserve">, insbesondere im Zusammenhang mit der Mobilisierung von Kreuzzügen, </w:t>
      </w:r>
      <w:r w:rsidR="007C19E2">
        <w:t xml:space="preserve">sowie </w:t>
      </w:r>
      <w:r w:rsidR="009B4F3B">
        <w:t xml:space="preserve">den </w:t>
      </w:r>
      <w:r w:rsidR="004F7E28">
        <w:t xml:space="preserve">religiösen </w:t>
      </w:r>
      <w:r w:rsidR="009B4F3B">
        <w:t>Deutungen historischer Ereignisse. Im Zentrum seiner aktuellen Arbeit steht die Rezeption der r</w:t>
      </w:r>
      <w:r w:rsidR="009B4F3B">
        <w:rPr>
          <w:lang w:val="sv-SE"/>
        </w:rPr>
        <w:t>ö</w:t>
      </w:r>
      <w:r w:rsidR="009B4F3B">
        <w:t xml:space="preserve">mischen Eroberung Jerusalems </w:t>
      </w:r>
      <w:r w:rsidR="00561797">
        <w:t>in m</w:t>
      </w:r>
      <w:r w:rsidR="009B4F3B">
        <w:t>ittelalter</w:t>
      </w:r>
      <w:r w:rsidR="00561797">
        <w:t>lichen Texten</w:t>
      </w:r>
      <w:r w:rsidR="009B4F3B">
        <w:t xml:space="preserve"> sowie deren Bedeutung für Themen wie Antijudaismus </w:t>
      </w:r>
      <w:r w:rsidR="00561797">
        <w:t xml:space="preserve">oder </w:t>
      </w:r>
      <w:r w:rsidR="001B16C5">
        <w:t>apokalyptische Vorstellungen</w:t>
      </w:r>
      <w:r w:rsidR="009B4F3B">
        <w:t>.</w:t>
      </w:r>
      <w:r w:rsidR="002A716E">
        <w:t xml:space="preserve"> Das ESPRIT-Projekt </w:t>
      </w:r>
      <w:hyperlink r:id="rId7" w:history="1">
        <w:r w:rsidR="002A716E" w:rsidRPr="004F7E28">
          <w:rPr>
            <w:rStyle w:val="Hyperlink0"/>
          </w:rPr>
          <w:t>„Mittelalterliche Rezeption der römischen Eroberung Jerusalems“</w:t>
        </w:r>
      </w:hyperlink>
      <w:r w:rsidR="002A716E">
        <w:t xml:space="preserve"> (2024–2027) wird vom Wissenschaftsfonds FWF mit 371.000 Euro gefördert.</w:t>
      </w:r>
    </w:p>
    <w:p w14:paraId="4EA6A87D" w14:textId="3639CA7B" w:rsidR="002A716E" w:rsidRPr="002A716E" w:rsidRDefault="002A716E">
      <w:pPr>
        <w:pStyle w:val="Text"/>
        <w:spacing w:before="240" w:after="240"/>
        <w:rPr>
          <w:b/>
          <w:bCs/>
        </w:rPr>
      </w:pPr>
      <w:r w:rsidRPr="002A716E">
        <w:rPr>
          <w:b/>
          <w:bCs/>
        </w:rPr>
        <w:t>Mehr zum Projekt</w:t>
      </w:r>
    </w:p>
    <w:p w14:paraId="30EBFA1B" w14:textId="5D4E86EE" w:rsidR="00AB3AD8" w:rsidRDefault="009B4F3B">
      <w:pPr>
        <w:pStyle w:val="Text"/>
        <w:spacing w:before="240" w:after="240"/>
        <w:rPr>
          <w:rStyle w:val="Ohne"/>
        </w:rPr>
      </w:pPr>
      <w:r>
        <w:t xml:space="preserve">Ein </w:t>
      </w:r>
      <w:hyperlink r:id="rId8" w:history="1">
        <w:r>
          <w:rPr>
            <w:rStyle w:val="Hyperlink0"/>
          </w:rPr>
          <w:t xml:space="preserve">zentraler Artikel </w:t>
        </w:r>
      </w:hyperlink>
      <w:r>
        <w:rPr>
          <w:rStyle w:val="Ohne"/>
        </w:rPr>
        <w:t xml:space="preserve">zur Entwicklung des Projekts analysiert anhand einer Predigt von </w:t>
      </w:r>
      <w:r>
        <w:rPr>
          <w:rStyle w:val="Ohne"/>
          <w:b/>
          <w:bCs/>
        </w:rPr>
        <w:t>Martin von Le</w:t>
      </w:r>
      <w:r>
        <w:rPr>
          <w:rStyle w:val="Ohne"/>
          <w:b/>
          <w:bCs/>
          <w:lang w:val="es-ES_tradnl"/>
        </w:rPr>
        <w:t>ó</w:t>
      </w:r>
      <w:r>
        <w:rPr>
          <w:rStyle w:val="Ohne"/>
          <w:b/>
          <w:bCs/>
        </w:rPr>
        <w:t>n</w:t>
      </w:r>
      <w:r w:rsidR="001B16C5">
        <w:rPr>
          <w:rStyle w:val="Ohne"/>
          <w:b/>
          <w:bCs/>
        </w:rPr>
        <w:t xml:space="preserve"> </w:t>
      </w:r>
      <w:r w:rsidR="001B16C5" w:rsidRPr="002A716E">
        <w:rPr>
          <w:rStyle w:val="Ohne"/>
        </w:rPr>
        <w:t>(ca.1130</w:t>
      </w:r>
      <w:r w:rsidR="001B16C5" w:rsidRPr="00561797">
        <w:rPr>
          <w:rStyle w:val="Ohne"/>
        </w:rPr>
        <w:t>–</w:t>
      </w:r>
      <w:r w:rsidR="001B16C5" w:rsidRPr="002A716E">
        <w:rPr>
          <w:rStyle w:val="Ohne"/>
        </w:rPr>
        <w:t>1203)</w:t>
      </w:r>
      <w:r>
        <w:rPr>
          <w:rStyle w:val="Ohne"/>
        </w:rPr>
        <w:t>, wie die r</w:t>
      </w:r>
      <w:r>
        <w:rPr>
          <w:rStyle w:val="Ohne"/>
          <w:lang w:val="sv-SE"/>
        </w:rPr>
        <w:t>ö</w:t>
      </w:r>
      <w:r>
        <w:rPr>
          <w:rStyle w:val="Ohne"/>
        </w:rPr>
        <w:t xml:space="preserve">mische Eroberung Jerusalems im Kontext des Dritten </w:t>
      </w:r>
      <w:r w:rsidRPr="00F67782">
        <w:rPr>
          <w:rStyle w:val="Ohne"/>
        </w:rPr>
        <w:t xml:space="preserve">Kreuzzugs </w:t>
      </w:r>
      <w:r w:rsidR="001B16C5" w:rsidRPr="00F67782">
        <w:rPr>
          <w:rStyle w:val="Ohne"/>
        </w:rPr>
        <w:t>(</w:t>
      </w:r>
      <w:r w:rsidR="006549F4" w:rsidRPr="00F67782">
        <w:rPr>
          <w:rStyle w:val="Ohne"/>
        </w:rPr>
        <w:t>118</w:t>
      </w:r>
      <w:r w:rsidR="008733FE">
        <w:rPr>
          <w:rStyle w:val="Ohne"/>
        </w:rPr>
        <w:t>7</w:t>
      </w:r>
      <w:r w:rsidR="008733FE" w:rsidRPr="00561797">
        <w:rPr>
          <w:rStyle w:val="Ohne"/>
        </w:rPr>
        <w:t>–</w:t>
      </w:r>
      <w:r w:rsidR="001B16C5" w:rsidRPr="00F67782">
        <w:rPr>
          <w:rStyle w:val="Ohne"/>
        </w:rPr>
        <w:t xml:space="preserve">1192) </w:t>
      </w:r>
      <w:r w:rsidRPr="00F67782">
        <w:rPr>
          <w:rStyle w:val="Ohne"/>
        </w:rPr>
        <w:t>als</w:t>
      </w:r>
      <w:r w:rsidRPr="007C19E2">
        <w:rPr>
          <w:rStyle w:val="Ohne"/>
        </w:rPr>
        <w:t xml:space="preserve"> rhetorisches</w:t>
      </w:r>
      <w:r>
        <w:rPr>
          <w:rStyle w:val="Ohne"/>
        </w:rPr>
        <w:t xml:space="preserve"> und theologisches Deutungsmuster eingesetzt </w:t>
      </w:r>
      <w:r w:rsidR="00676AE8">
        <w:rPr>
          <w:rStyle w:val="Ohne"/>
        </w:rPr>
        <w:t>wurde</w:t>
      </w:r>
      <w:r w:rsidRPr="00676AE8">
        <w:rPr>
          <w:rStyle w:val="Ohne"/>
        </w:rPr>
        <w:t>.</w:t>
      </w:r>
      <w:r>
        <w:rPr>
          <w:rStyle w:val="Ohne"/>
        </w:rPr>
        <w:br/>
      </w:r>
      <w:r>
        <w:rPr>
          <w:rStyle w:val="Ohne"/>
        </w:rPr>
        <w:br/>
        <w:t xml:space="preserve">Ein </w:t>
      </w:r>
      <w:hyperlink r:id="rId9" w:history="1">
        <w:r>
          <w:rPr>
            <w:rStyle w:val="Hyperlink0"/>
          </w:rPr>
          <w:t>weiterer Beitrag</w:t>
        </w:r>
      </w:hyperlink>
      <w:r>
        <w:rPr>
          <w:rStyle w:val="Ohne"/>
        </w:rPr>
        <w:t xml:space="preserve"> untersucht, wie der </w:t>
      </w:r>
      <w:r w:rsidRPr="007C19E2">
        <w:rPr>
          <w:rStyle w:val="Ohne"/>
        </w:rPr>
        <w:t xml:space="preserve">Theologe </w:t>
      </w:r>
      <w:r w:rsidRPr="00F67782">
        <w:rPr>
          <w:rStyle w:val="Ohne"/>
          <w:b/>
          <w:bCs/>
        </w:rPr>
        <w:t>Rupert von Deutz</w:t>
      </w:r>
      <w:r w:rsidRPr="00F67782">
        <w:rPr>
          <w:rStyle w:val="Ohne"/>
        </w:rPr>
        <w:t xml:space="preserve"> </w:t>
      </w:r>
      <w:r w:rsidR="001B16C5" w:rsidRPr="00F67782">
        <w:rPr>
          <w:rStyle w:val="Ohne"/>
        </w:rPr>
        <w:t>(ca.1070–1129)</w:t>
      </w:r>
      <w:r w:rsidR="001B16C5" w:rsidRPr="007C19E2">
        <w:rPr>
          <w:rStyle w:val="Ohne"/>
        </w:rPr>
        <w:t xml:space="preserve"> </w:t>
      </w:r>
      <w:r w:rsidRPr="007C19E2">
        <w:rPr>
          <w:rStyle w:val="Ohne"/>
        </w:rPr>
        <w:t>die</w:t>
      </w:r>
      <w:r>
        <w:rPr>
          <w:rStyle w:val="Ohne"/>
        </w:rPr>
        <w:t xml:space="preserve"> r</w:t>
      </w:r>
      <w:r>
        <w:rPr>
          <w:rStyle w:val="Ohne"/>
          <w:lang w:val="sv-SE"/>
        </w:rPr>
        <w:t>ö</w:t>
      </w:r>
      <w:r>
        <w:rPr>
          <w:rStyle w:val="Ohne"/>
        </w:rPr>
        <w:t xml:space="preserve">mische Eroberung </w:t>
      </w:r>
      <w:r w:rsidRPr="00676AE8">
        <w:rPr>
          <w:rStyle w:val="Ohne"/>
        </w:rPr>
        <w:t>Jerusalems nutzt</w:t>
      </w:r>
      <w:r w:rsidR="00676AE8" w:rsidRPr="00676AE8">
        <w:rPr>
          <w:rStyle w:val="Ohne"/>
        </w:rPr>
        <w:t>e</w:t>
      </w:r>
      <w:r w:rsidRPr="00EE7FDC">
        <w:rPr>
          <w:rStyle w:val="Ohne"/>
        </w:rPr>
        <w:t xml:space="preserve">, um </w:t>
      </w:r>
      <w:r w:rsidRPr="001910D5">
        <w:rPr>
          <w:rStyle w:val="Ohne"/>
        </w:rPr>
        <w:t>den</w:t>
      </w:r>
      <w:r w:rsidRPr="00477851">
        <w:rPr>
          <w:rStyle w:val="Ohne"/>
        </w:rPr>
        <w:t xml:space="preserve"> E</w:t>
      </w:r>
      <w:r w:rsidRPr="00F67782">
        <w:rPr>
          <w:rStyle w:val="Ohne"/>
        </w:rPr>
        <w:t xml:space="preserve">rsten Kreuzzug </w:t>
      </w:r>
      <w:r w:rsidR="001B16C5" w:rsidRPr="00F67782">
        <w:rPr>
          <w:rStyle w:val="Ohne"/>
        </w:rPr>
        <w:t xml:space="preserve">(1095–1099) </w:t>
      </w:r>
      <w:r w:rsidRPr="00F67782">
        <w:rPr>
          <w:rStyle w:val="Ohne"/>
        </w:rPr>
        <w:t>zu</w:t>
      </w:r>
      <w:r>
        <w:rPr>
          <w:rStyle w:val="Ohne"/>
        </w:rPr>
        <w:t xml:space="preserve"> </w:t>
      </w:r>
      <w:r w:rsidR="001B16C5">
        <w:rPr>
          <w:rStyle w:val="Ohne"/>
        </w:rPr>
        <w:t xml:space="preserve">verstehen </w:t>
      </w:r>
      <w:r>
        <w:rPr>
          <w:rStyle w:val="Ohne"/>
        </w:rPr>
        <w:t>und in eine heilsgeschichtliche Logik einzuordnen.</w:t>
      </w:r>
      <w:r>
        <w:rPr>
          <w:rStyle w:val="Ohne"/>
        </w:rPr>
        <w:br/>
      </w:r>
      <w:r>
        <w:rPr>
          <w:rStyle w:val="Ohne"/>
        </w:rPr>
        <w:br/>
      </w:r>
      <w:r w:rsidRPr="00477851">
        <w:rPr>
          <w:rStyle w:val="Ohne"/>
        </w:rPr>
        <w:t xml:space="preserve">Die </w:t>
      </w:r>
      <w:hyperlink r:id="rId10" w:history="1">
        <w:r w:rsidRPr="00F67782">
          <w:rPr>
            <w:rStyle w:val="Hyperlink0"/>
          </w:rPr>
          <w:t xml:space="preserve">Projektseite am Institut für Mittelalterforschung (IMAFO) </w:t>
        </w:r>
      </w:hyperlink>
      <w:r w:rsidRPr="00F67782">
        <w:rPr>
          <w:rStyle w:val="Ohne"/>
        </w:rPr>
        <w:t>bietet Einblicke in das laufende</w:t>
      </w:r>
      <w:r>
        <w:rPr>
          <w:rStyle w:val="Ohne"/>
        </w:rPr>
        <w:t xml:space="preserve"> Forschungsprojekt sowie die entstehende Datenbank </w:t>
      </w:r>
      <w:r w:rsidR="001B16C5">
        <w:rPr>
          <w:rStyle w:val="Ohne"/>
        </w:rPr>
        <w:t xml:space="preserve">(mit regelmäßigen Updates) </w:t>
      </w:r>
      <w:r>
        <w:rPr>
          <w:rStyle w:val="Ohne"/>
        </w:rPr>
        <w:t>zur mittelalterlichen Rezeption der Eroberung Jerusalems.</w:t>
      </w:r>
    </w:p>
    <w:p w14:paraId="289B4B1A" w14:textId="689CFAD6" w:rsidR="00EE4202" w:rsidRDefault="00EE4202">
      <w:pPr>
        <w:pStyle w:val="Text"/>
        <w:spacing w:before="240" w:after="240"/>
        <w:rPr>
          <w:rStyle w:val="Ohne"/>
        </w:rPr>
      </w:pPr>
    </w:p>
    <w:p w14:paraId="35A41238" w14:textId="3D6FBF8C" w:rsidR="00EE4202" w:rsidRDefault="00EE4202" w:rsidP="00EE4202">
      <w:pPr>
        <w:ind w:right="4"/>
        <w:rPr>
          <w:rStyle w:val="Hyperlink"/>
          <w:rFonts w:ascii="Arial" w:hAnsi="Arial" w:cs="Arial"/>
          <w:b/>
          <w:bCs/>
          <w:sz w:val="20"/>
          <w:szCs w:val="20"/>
          <w:lang w:val="de-DE"/>
        </w:rPr>
      </w:pPr>
      <w:r w:rsidRPr="00A87BAB">
        <w:rPr>
          <w:rFonts w:ascii="Arial" w:hAnsi="Arial" w:cs="Arial"/>
          <w:sz w:val="20"/>
          <w:szCs w:val="20"/>
          <w:lang w:val="de-DE"/>
        </w:rPr>
        <w:t xml:space="preserve">Bild und Text ab Montag, </w:t>
      </w:r>
      <w:r>
        <w:rPr>
          <w:rFonts w:ascii="Arial" w:hAnsi="Arial" w:cs="Arial"/>
          <w:sz w:val="20"/>
          <w:szCs w:val="20"/>
          <w:lang w:val="de-DE"/>
        </w:rPr>
        <w:t>30</w:t>
      </w:r>
      <w:r w:rsidRPr="00A87BAB">
        <w:rPr>
          <w:rFonts w:ascii="Arial" w:hAnsi="Arial" w:cs="Arial"/>
          <w:sz w:val="20"/>
          <w:szCs w:val="20"/>
          <w:lang w:val="de-DE"/>
        </w:rPr>
        <w:t xml:space="preserve">. März 2026 ab 7:30 Uhr MEZ verfügbar unter: </w:t>
      </w:r>
      <w:hyperlink r:id="rId11" w:history="1">
        <w:r w:rsidRPr="007557F2">
          <w:rPr>
            <w:rStyle w:val="Hyperlink"/>
            <w:rFonts w:ascii="Arial" w:hAnsi="Arial" w:cs="Arial"/>
            <w:b/>
            <w:bCs/>
            <w:sz w:val="20"/>
            <w:szCs w:val="20"/>
            <w:lang w:val="de-DE"/>
          </w:rPr>
          <w:t>https://scilog.fwf.ac.at</w:t>
        </w:r>
      </w:hyperlink>
    </w:p>
    <w:p w14:paraId="725BD1B2" w14:textId="77777777" w:rsidR="00EE4202" w:rsidRPr="007557F2" w:rsidRDefault="00EE4202" w:rsidP="00EE4202">
      <w:pPr>
        <w:ind w:right="4"/>
        <w:rPr>
          <w:rStyle w:val="Hyperlink"/>
          <w:rFonts w:ascii="Arial" w:hAnsi="Arial" w:cs="Arial"/>
          <w:b/>
          <w:bCs/>
          <w:sz w:val="20"/>
          <w:szCs w:val="20"/>
          <w:lang w:val="de-DE"/>
        </w:rPr>
      </w:pPr>
    </w:p>
    <w:tbl>
      <w:tblPr>
        <w:tblW w:w="12262" w:type="dxa"/>
        <w:tblCellMar>
          <w:left w:w="70" w:type="dxa"/>
          <w:right w:w="70" w:type="dxa"/>
        </w:tblCellMar>
        <w:tblLook w:val="04A0" w:firstRow="1" w:lastRow="0" w:firstColumn="1" w:lastColumn="0" w:noHBand="0" w:noVBand="1"/>
      </w:tblPr>
      <w:tblGrid>
        <w:gridCol w:w="5387"/>
        <w:gridCol w:w="3828"/>
        <w:gridCol w:w="3047"/>
      </w:tblGrid>
      <w:tr w:rsidR="00EE4202" w:rsidRPr="004C3BDF" w14:paraId="4754C17A" w14:textId="77777777" w:rsidTr="004676DE">
        <w:trPr>
          <w:trHeight w:val="3082"/>
        </w:trPr>
        <w:tc>
          <w:tcPr>
            <w:tcW w:w="5387" w:type="dxa"/>
          </w:tcPr>
          <w:p w14:paraId="47889452" w14:textId="77777777" w:rsidR="00EE4202" w:rsidRPr="00AC5626" w:rsidRDefault="00EE4202" w:rsidP="004676DE">
            <w:pPr>
              <w:pStyle w:val="KeinLeerraum"/>
              <w:spacing w:line="276" w:lineRule="auto"/>
              <w:ind w:right="139"/>
              <w:rPr>
                <w:rFonts w:ascii="Arial" w:hAnsi="Arial" w:cs="Arial"/>
                <w:sz w:val="18"/>
                <w:szCs w:val="18"/>
                <w:lang w:val="de-DE"/>
              </w:rPr>
            </w:pPr>
          </w:p>
          <w:p w14:paraId="5DAEF4F7" w14:textId="3CD94E86" w:rsidR="00EE4202" w:rsidRPr="00AC5626" w:rsidRDefault="00EE4202" w:rsidP="00EE4202">
            <w:pPr>
              <w:pStyle w:val="NurText"/>
              <w:spacing w:line="276" w:lineRule="auto"/>
              <w:ind w:left="426"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2" w:name="_Hlk210895981"/>
            <w:r>
              <w:rPr>
                <w:rFonts w:ascii="Arial" w:hAnsi="Arial" w:cs="Arial"/>
                <w:sz w:val="18"/>
                <w:szCs w:val="18"/>
              </w:rPr>
              <w:t>Dr. Alexander Marx</w:t>
            </w:r>
          </w:p>
          <w:p w14:paraId="1BF88625" w14:textId="59BF4F9E" w:rsidR="00EE4202" w:rsidRDefault="00EE4202" w:rsidP="00EE4202">
            <w:pPr>
              <w:pStyle w:val="NurText"/>
              <w:spacing w:line="276" w:lineRule="auto"/>
              <w:ind w:left="426" w:right="139"/>
              <w:rPr>
                <w:rFonts w:ascii="Arial" w:hAnsi="Arial" w:cs="Arial"/>
                <w:sz w:val="18"/>
                <w:szCs w:val="18"/>
              </w:rPr>
            </w:pPr>
            <w:r>
              <w:rPr>
                <w:rFonts w:ascii="Arial" w:hAnsi="Arial" w:cs="Arial"/>
                <w:sz w:val="18"/>
                <w:szCs w:val="18"/>
              </w:rPr>
              <w:t xml:space="preserve">Institut für </w:t>
            </w:r>
            <w:r>
              <w:rPr>
                <w:rFonts w:ascii="Arial" w:hAnsi="Arial" w:cs="Arial"/>
                <w:sz w:val="18"/>
                <w:szCs w:val="18"/>
              </w:rPr>
              <w:t>Mittelalterforschung</w:t>
            </w:r>
          </w:p>
          <w:p w14:paraId="283EE7D3" w14:textId="5746EBB5" w:rsidR="00EE4202" w:rsidRPr="000736B0" w:rsidRDefault="00EE4202" w:rsidP="00EE4202">
            <w:pPr>
              <w:pStyle w:val="NurText"/>
              <w:spacing w:line="276" w:lineRule="auto"/>
              <w:ind w:left="426" w:right="139"/>
              <w:rPr>
                <w:rFonts w:ascii="Arial" w:hAnsi="Arial" w:cs="Arial"/>
                <w:sz w:val="18"/>
                <w:szCs w:val="18"/>
              </w:rPr>
            </w:pPr>
            <w:r>
              <w:rPr>
                <w:rFonts w:ascii="Arial" w:hAnsi="Arial" w:cs="Arial"/>
                <w:sz w:val="18"/>
                <w:szCs w:val="18"/>
              </w:rPr>
              <w:t>Österreichische Akademie der Wissenschaften</w:t>
            </w:r>
          </w:p>
          <w:p w14:paraId="10504DD7" w14:textId="2E33D335" w:rsidR="00EE4202" w:rsidRPr="00AC5626" w:rsidRDefault="00EE4202" w:rsidP="00EE4202">
            <w:pPr>
              <w:pStyle w:val="NurText"/>
              <w:spacing w:line="276" w:lineRule="auto"/>
              <w:ind w:left="426" w:right="139"/>
              <w:rPr>
                <w:rFonts w:ascii="Arial" w:hAnsi="Arial" w:cs="Arial"/>
                <w:sz w:val="18"/>
                <w:szCs w:val="18"/>
              </w:rPr>
            </w:pPr>
            <w:proofErr w:type="spellStart"/>
            <w:r>
              <w:rPr>
                <w:rFonts w:ascii="Arial" w:hAnsi="Arial" w:cs="Arial"/>
                <w:sz w:val="18"/>
                <w:szCs w:val="18"/>
              </w:rPr>
              <w:t>Dominikanerbastei</w:t>
            </w:r>
            <w:proofErr w:type="spellEnd"/>
            <w:r>
              <w:rPr>
                <w:rFonts w:ascii="Arial" w:hAnsi="Arial" w:cs="Arial"/>
                <w:sz w:val="18"/>
                <w:szCs w:val="18"/>
              </w:rPr>
              <w:t xml:space="preserve"> 16</w:t>
            </w:r>
          </w:p>
          <w:p w14:paraId="73C6EFD1" w14:textId="7EBEEE4F" w:rsidR="00EE4202" w:rsidRDefault="00EE4202" w:rsidP="00EE4202">
            <w:pPr>
              <w:pStyle w:val="NurText"/>
              <w:spacing w:line="276" w:lineRule="auto"/>
              <w:ind w:left="426" w:right="139"/>
              <w:rPr>
                <w:rFonts w:ascii="Arial" w:hAnsi="Arial" w:cs="Arial"/>
                <w:sz w:val="18"/>
                <w:szCs w:val="18"/>
              </w:rPr>
            </w:pPr>
            <w:r>
              <w:rPr>
                <w:rFonts w:ascii="Arial" w:hAnsi="Arial" w:cs="Arial"/>
                <w:sz w:val="18"/>
                <w:szCs w:val="18"/>
              </w:rPr>
              <w:t>10</w:t>
            </w:r>
            <w:r>
              <w:rPr>
                <w:rFonts w:ascii="Arial" w:hAnsi="Arial" w:cs="Arial"/>
                <w:sz w:val="18"/>
                <w:szCs w:val="18"/>
              </w:rPr>
              <w:t>1</w:t>
            </w:r>
            <w:r>
              <w:rPr>
                <w:rFonts w:ascii="Arial" w:hAnsi="Arial" w:cs="Arial"/>
                <w:sz w:val="18"/>
                <w:szCs w:val="18"/>
              </w:rPr>
              <w:t>0 Wien</w:t>
            </w:r>
          </w:p>
          <w:p w14:paraId="31EB2667" w14:textId="68A21077" w:rsidR="00EE4202" w:rsidRPr="00EE4202" w:rsidRDefault="00EE4202" w:rsidP="00EE4202">
            <w:pPr>
              <w:pStyle w:val="NurText"/>
              <w:pBdr>
                <w:top w:val="nil"/>
                <w:left w:val="nil"/>
                <w:bottom w:val="nil"/>
                <w:right w:val="nil"/>
                <w:between w:val="nil"/>
                <w:bar w:val="nil"/>
              </w:pBdr>
              <w:spacing w:line="276" w:lineRule="auto"/>
              <w:ind w:left="426" w:right="139"/>
              <w:rPr>
                <w:rFonts w:ascii="Arial" w:hAnsi="Arial" w:cs="Arial"/>
                <w:sz w:val="18"/>
                <w:szCs w:val="18"/>
              </w:rPr>
            </w:pPr>
            <w:r w:rsidRPr="00EE4202">
              <w:rPr>
                <w:rFonts w:ascii="Arial" w:hAnsi="Arial" w:cs="Arial"/>
                <w:sz w:val="18"/>
                <w:szCs w:val="18"/>
              </w:rPr>
              <w:t>T +43</w:t>
            </w:r>
            <w:r>
              <w:rPr>
                <w:rFonts w:ascii="Arial" w:hAnsi="Arial" w:cs="Arial"/>
                <w:sz w:val="18"/>
                <w:szCs w:val="18"/>
              </w:rPr>
              <w:t xml:space="preserve"> 1 </w:t>
            </w:r>
            <w:bookmarkEnd w:id="2"/>
            <w:r>
              <w:rPr>
                <w:rFonts w:ascii="Arial" w:hAnsi="Arial" w:cs="Arial"/>
                <w:sz w:val="18"/>
                <w:szCs w:val="18"/>
              </w:rPr>
              <w:t>51581-7213</w:t>
            </w:r>
            <w:r>
              <w:rPr>
                <w:rFonts w:ascii="Arial" w:hAnsi="Arial" w:cs="Arial"/>
                <w:sz w:val="18"/>
                <w:szCs w:val="18"/>
              </w:rPr>
              <w:br/>
            </w:r>
            <w:hyperlink r:id="rId12" w:history="1">
              <w:r w:rsidRPr="00523CA3">
                <w:rPr>
                  <w:rStyle w:val="Hyperlink"/>
                  <w:rFonts w:ascii="Arial" w:hAnsi="Arial" w:cs="Arial"/>
                  <w:sz w:val="18"/>
                  <w:szCs w:val="18"/>
                </w:rPr>
                <w:t>alexander.marx@oeaw.ac.at</w:t>
              </w:r>
            </w:hyperlink>
            <w:r>
              <w:br/>
            </w:r>
            <w:hyperlink r:id="rId13" w:history="1">
              <w:r w:rsidRPr="00523CA3">
                <w:rPr>
                  <w:rStyle w:val="Hyperlink"/>
                  <w:rFonts w:ascii="Arial" w:hAnsi="Arial" w:cs="Arial"/>
                  <w:sz w:val="18"/>
                  <w:szCs w:val="18"/>
                </w:rPr>
                <w:t>https://www.oeaw.ac.at/imafo</w:t>
              </w:r>
              <w:r w:rsidRPr="00523CA3">
                <w:rPr>
                  <w:rStyle w:val="Hyperlink"/>
                  <w:rFonts w:ascii="Arial" w:hAnsi="Arial" w:cs="Arial"/>
                  <w:sz w:val="18"/>
                  <w:szCs w:val="18"/>
                </w:rPr>
                <w:t>/</w:t>
              </w:r>
            </w:hyperlink>
            <w:r>
              <w:rPr>
                <w:rFonts w:ascii="Arial" w:hAnsi="Arial" w:cs="Arial"/>
                <w:sz w:val="18"/>
                <w:szCs w:val="18"/>
              </w:rPr>
              <w:t xml:space="preserve">   </w:t>
            </w:r>
            <w:r>
              <w:rPr>
                <w:rFonts w:ascii="Arial" w:hAnsi="Arial" w:cs="Arial"/>
                <w:noProof/>
                <w:sz w:val="18"/>
                <w:szCs w:val="18"/>
              </w:rPr>
              <w:t xml:space="preserve"> </w:t>
            </w:r>
          </w:p>
        </w:tc>
        <w:tc>
          <w:tcPr>
            <w:tcW w:w="3828" w:type="dxa"/>
          </w:tcPr>
          <w:p w14:paraId="252D1277" w14:textId="77777777" w:rsidR="00EE4202" w:rsidRPr="00AC5626" w:rsidRDefault="00EE4202" w:rsidP="004676DE">
            <w:pPr>
              <w:pStyle w:val="KeinLeerraum"/>
              <w:spacing w:line="276" w:lineRule="auto"/>
              <w:ind w:left="68" w:right="139"/>
              <w:rPr>
                <w:rFonts w:ascii="Arial" w:hAnsi="Arial" w:cs="Arial"/>
                <w:b/>
                <w:sz w:val="18"/>
                <w:szCs w:val="18"/>
                <w:lang w:val="fr-CH"/>
              </w:rPr>
            </w:pPr>
          </w:p>
          <w:p w14:paraId="4D2A18ED" w14:textId="77777777" w:rsidR="00EE4202" w:rsidRPr="00AC5626" w:rsidRDefault="00EE4202" w:rsidP="004676DE">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630B10B1" w14:textId="77777777" w:rsidR="00EE4202" w:rsidRPr="00AC5626" w:rsidRDefault="00EE4202" w:rsidP="004676DE">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3A8C32EA" w14:textId="77777777" w:rsidR="00EE4202" w:rsidRPr="00AC5626" w:rsidRDefault="00EE4202" w:rsidP="004676DE">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2F8A01F7" w14:textId="77777777" w:rsidR="00EE4202" w:rsidRPr="00AC5626" w:rsidRDefault="00EE4202" w:rsidP="004676DE">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5C7A3B18" w14:textId="77777777" w:rsidR="00EE4202" w:rsidRPr="00AC5626" w:rsidRDefault="00EE4202" w:rsidP="004676DE">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5839E3CE" w14:textId="77777777" w:rsidR="00EE4202" w:rsidRPr="00AC5626" w:rsidRDefault="00EE4202" w:rsidP="004676DE">
            <w:pPr>
              <w:spacing w:line="276" w:lineRule="auto"/>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4"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5">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us @ </w:t>
            </w:r>
            <w:hyperlink r:id="rId16" w:history="1">
              <w:r w:rsidRPr="00AC5626">
                <w:rPr>
                  <w:rStyle w:val="Hyperlink"/>
                  <w:rFonts w:ascii="Arial" w:hAnsi="Arial" w:cs="Arial"/>
                  <w:sz w:val="18"/>
                  <w:szCs w:val="18"/>
                </w:rPr>
                <w:t>Social Media</w:t>
              </w:r>
            </w:hyperlink>
          </w:p>
        </w:tc>
        <w:tc>
          <w:tcPr>
            <w:tcW w:w="3047" w:type="dxa"/>
          </w:tcPr>
          <w:p w14:paraId="3FE538BE" w14:textId="77777777" w:rsidR="00EE4202" w:rsidRPr="00AF3205" w:rsidRDefault="00EE4202" w:rsidP="004676DE">
            <w:pPr>
              <w:pStyle w:val="KeinLeerraum"/>
              <w:spacing w:line="276" w:lineRule="auto"/>
              <w:ind w:right="139"/>
              <w:rPr>
                <w:rFonts w:ascii="Arial" w:hAnsi="Arial" w:cs="Arial"/>
                <w:b/>
                <w:sz w:val="18"/>
                <w:szCs w:val="18"/>
              </w:rPr>
            </w:pPr>
          </w:p>
          <w:p w14:paraId="57BEA1DF" w14:textId="77777777" w:rsidR="00EE4202" w:rsidRPr="00AF3205" w:rsidRDefault="00EE4202" w:rsidP="004676DE">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694FCE23" w14:textId="77777777" w:rsidR="00EE4202" w:rsidRDefault="00EE4202">
      <w:pPr>
        <w:pStyle w:val="Text"/>
        <w:spacing w:before="240" w:after="240"/>
      </w:pPr>
    </w:p>
    <w:sectPr w:rsidR="00EE4202" w:rsidSect="00EE4202">
      <w:headerReference w:type="default" r:id="rId17"/>
      <w:pgSz w:w="12240" w:h="15840"/>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2A2E0" w14:textId="77777777" w:rsidR="00D027B6" w:rsidRDefault="00D027B6">
      <w:r>
        <w:separator/>
      </w:r>
    </w:p>
  </w:endnote>
  <w:endnote w:type="continuationSeparator" w:id="0">
    <w:p w14:paraId="2242A86A" w14:textId="77777777" w:rsidR="00D027B6" w:rsidRDefault="00D02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6A8F0" w14:textId="77777777" w:rsidR="00D027B6" w:rsidRDefault="00D027B6">
      <w:r>
        <w:separator/>
      </w:r>
    </w:p>
  </w:footnote>
  <w:footnote w:type="continuationSeparator" w:id="0">
    <w:p w14:paraId="0C71E4E1" w14:textId="77777777" w:rsidR="00D027B6" w:rsidRDefault="00D027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320E3" w14:textId="0F00B9D8" w:rsidR="00AB3AD8" w:rsidRDefault="00EE4202" w:rsidP="00EE4202">
    <w:pPr>
      <w:pStyle w:val="Kopf-undFuzeilen"/>
      <w:tabs>
        <w:tab w:val="clear" w:pos="9020"/>
      </w:tabs>
    </w:pPr>
    <w:r>
      <w:rPr>
        <w:noProof/>
      </w:rPr>
      <mc:AlternateContent>
        <mc:Choice Requires="wpg">
          <w:drawing>
            <wp:anchor distT="0" distB="0" distL="114300" distR="114300" simplePos="0" relativeHeight="251661312" behindDoc="0" locked="0" layoutInCell="1" allowOverlap="1" wp14:anchorId="29E64C0B" wp14:editId="0FD55920">
              <wp:simplePos x="0" y="0"/>
              <wp:positionH relativeFrom="column">
                <wp:posOffset>4495800</wp:posOffset>
              </wp:positionH>
              <wp:positionV relativeFrom="paragraph">
                <wp:posOffset>-66675</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F87135" id="Grafik 2" o:spid="_x0000_s1026" alt="Logo FWF Österreichischer Wissenschaftsfonds" style="position:absolute;margin-left:354pt;margin-top:-5.25pt;width:142.95pt;height:19.5pt;z-index:251661312;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r>
      <w:rPr>
        <w:noProof/>
        <w:lang w:val="de-AT" w:eastAsia="de-AT"/>
      </w:rPr>
      <mc:AlternateContent>
        <mc:Choice Requires="wps">
          <w:drawing>
            <wp:anchor distT="152400" distB="152400" distL="152400" distR="152400" simplePos="0" relativeHeight="251656192" behindDoc="1" locked="0" layoutInCell="1" allowOverlap="1" wp14:anchorId="18473B52" wp14:editId="3BEC00DF">
              <wp:simplePos x="0" y="0"/>
              <wp:positionH relativeFrom="page">
                <wp:posOffset>0</wp:posOffset>
              </wp:positionH>
              <wp:positionV relativeFrom="page">
                <wp:posOffset>0</wp:posOffset>
              </wp:positionV>
              <wp:extent cx="7753350" cy="10058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753350" cy="10058400"/>
                      </a:xfrm>
                      <a:prstGeom prst="roundRect">
                        <a:avLst>
                          <a:gd name="adj" fmla="val 0"/>
                        </a:avLst>
                      </a:prstGeom>
                      <a:solidFill>
                        <a:srgbClr val="FFFFFF"/>
                      </a:solidFill>
                      <a:ln w="12700" cap="flat">
                        <a:noFill/>
                        <a:miter lim="400000"/>
                      </a:ln>
                      <a:effectLst/>
                    </wps:spPr>
                    <wps:txbx>
                      <w:txbxContent>
                        <w:p w14:paraId="3E075F9E" w14:textId="67EA47FF" w:rsidR="00EE4202" w:rsidRDefault="00EE4202" w:rsidP="00EE4202">
                          <w:pPr>
                            <w:jc w:val="center"/>
                          </w:pPr>
                        </w:p>
                        <w:p w14:paraId="21D8EB70" w14:textId="46ED902C" w:rsidR="00EE4202" w:rsidRDefault="00EE4202" w:rsidP="00EE4202">
                          <w:pPr>
                            <w:jc w:val="center"/>
                          </w:pPr>
                        </w:p>
                        <w:p w14:paraId="22C0C4E6" w14:textId="584E6805" w:rsidR="00EE4202" w:rsidRDefault="00EE4202" w:rsidP="00EE4202">
                          <w:pPr>
                            <w:jc w:val="center"/>
                          </w:pPr>
                        </w:p>
                        <w:p w14:paraId="52F9780F" w14:textId="477FB509" w:rsidR="00EE4202" w:rsidRDefault="00EE4202" w:rsidP="00EE4202">
                          <w:pPr>
                            <w:jc w:val="center"/>
                          </w:pPr>
                        </w:p>
                        <w:p w14:paraId="0950EF18" w14:textId="00F11083" w:rsidR="00EE4202" w:rsidRDefault="00EE4202" w:rsidP="00EE4202">
                          <w:pPr>
                            <w:jc w:val="center"/>
                          </w:pPr>
                        </w:p>
                        <w:p w14:paraId="3B132C2F" w14:textId="6992E290" w:rsidR="00EE4202" w:rsidRDefault="00EE4202" w:rsidP="00EE4202">
                          <w:pPr>
                            <w:jc w:val="center"/>
                          </w:pPr>
                        </w:p>
                        <w:p w14:paraId="430A8B4C" w14:textId="068ECC69" w:rsidR="00EE4202" w:rsidRDefault="00EE4202" w:rsidP="00EE4202">
                          <w:pPr>
                            <w:jc w:val="center"/>
                          </w:pPr>
                        </w:p>
                        <w:p w14:paraId="2F449DE7" w14:textId="77777777" w:rsidR="00EE4202" w:rsidRDefault="00EE4202" w:rsidP="00EE4202">
                          <w:pPr>
                            <w:jc w:val="center"/>
                          </w:pPr>
                        </w:p>
                      </w:txbxContent>
                    </wps:txbx>
                    <wps:bodyPr/>
                  </wps:wsp>
                </a:graphicData>
              </a:graphic>
              <wp14:sizeRelH relativeFrom="margin">
                <wp14:pctWidth>0</wp14:pctWidth>
              </wp14:sizeRelH>
            </wp:anchor>
          </w:drawing>
        </mc:Choice>
        <mc:Fallback>
          <w:pict>
            <v:roundrect w14:anchorId="18473B52" id="officeArt object" o:spid="_x0000_s1026" alt="Rechteck" style="position:absolute;margin-left:0;margin-top:0;width:610.5pt;height:11in;z-index:-251660288;visibility:visible;mso-wrap-style:square;mso-width-percent:0;mso-wrap-distance-left:12pt;mso-wrap-distance-top:12pt;mso-wrap-distance-right:12pt;mso-wrap-distance-bottom:12pt;mso-position-horizontal:absolute;mso-position-horizontal-relative:page;mso-position-vertical:absolute;mso-position-vertical-relative:page;mso-width-percent:0;mso-width-relative:margin;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" stroked="f" strokeweight="1pt">
              <v:stroke miterlimit="4" joinstyle="miter"/>
              <v:textbox>
                <w:txbxContent>
                  <w:p w14:paraId="3E075F9E" w14:textId="67EA47FF" w:rsidR="00EE4202" w:rsidRDefault="00EE4202" w:rsidP="00EE4202">
                    <w:pPr>
                      <w:jc w:val="center"/>
                    </w:pPr>
                  </w:p>
                  <w:p w14:paraId="21D8EB70" w14:textId="46ED902C" w:rsidR="00EE4202" w:rsidRDefault="00EE4202" w:rsidP="00EE4202">
                    <w:pPr>
                      <w:jc w:val="center"/>
                    </w:pPr>
                  </w:p>
                  <w:p w14:paraId="22C0C4E6" w14:textId="584E6805" w:rsidR="00EE4202" w:rsidRDefault="00EE4202" w:rsidP="00EE4202">
                    <w:pPr>
                      <w:jc w:val="center"/>
                    </w:pPr>
                  </w:p>
                  <w:p w14:paraId="52F9780F" w14:textId="477FB509" w:rsidR="00EE4202" w:rsidRDefault="00EE4202" w:rsidP="00EE4202">
                    <w:pPr>
                      <w:jc w:val="center"/>
                    </w:pPr>
                  </w:p>
                  <w:p w14:paraId="0950EF18" w14:textId="00F11083" w:rsidR="00EE4202" w:rsidRDefault="00EE4202" w:rsidP="00EE4202">
                    <w:pPr>
                      <w:jc w:val="center"/>
                    </w:pPr>
                  </w:p>
                  <w:p w14:paraId="3B132C2F" w14:textId="6992E290" w:rsidR="00EE4202" w:rsidRDefault="00EE4202" w:rsidP="00EE4202">
                    <w:pPr>
                      <w:jc w:val="center"/>
                    </w:pPr>
                  </w:p>
                  <w:p w14:paraId="430A8B4C" w14:textId="068ECC69" w:rsidR="00EE4202" w:rsidRDefault="00EE4202" w:rsidP="00EE4202">
                    <w:pPr>
                      <w:jc w:val="center"/>
                    </w:pPr>
                  </w:p>
                  <w:p w14:paraId="2F449DE7" w14:textId="77777777" w:rsidR="00EE4202" w:rsidRDefault="00EE4202" w:rsidP="00EE4202">
                    <w:pPr>
                      <w:jc w:val="center"/>
                    </w:pPr>
                  </w:p>
                </w:txbxContent>
              </v:textbox>
              <w10:wrap anchorx="page" anchory="page"/>
            </v:roundrect>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3AD8"/>
    <w:rsid w:val="000373C0"/>
    <w:rsid w:val="000B2E88"/>
    <w:rsid w:val="000B78A0"/>
    <w:rsid w:val="001910D5"/>
    <w:rsid w:val="001B16C5"/>
    <w:rsid w:val="00214F91"/>
    <w:rsid w:val="002A716E"/>
    <w:rsid w:val="002D12F6"/>
    <w:rsid w:val="00306AA6"/>
    <w:rsid w:val="00371738"/>
    <w:rsid w:val="003A5949"/>
    <w:rsid w:val="00477851"/>
    <w:rsid w:val="004F7E28"/>
    <w:rsid w:val="005036FB"/>
    <w:rsid w:val="00536E82"/>
    <w:rsid w:val="00561797"/>
    <w:rsid w:val="006549F4"/>
    <w:rsid w:val="00676AE8"/>
    <w:rsid w:val="00700890"/>
    <w:rsid w:val="007A59F4"/>
    <w:rsid w:val="007C19E2"/>
    <w:rsid w:val="00800348"/>
    <w:rsid w:val="0082370E"/>
    <w:rsid w:val="008733FE"/>
    <w:rsid w:val="008B27D3"/>
    <w:rsid w:val="008B3A4B"/>
    <w:rsid w:val="0091472A"/>
    <w:rsid w:val="009B4F3B"/>
    <w:rsid w:val="00A03EFD"/>
    <w:rsid w:val="00AA6908"/>
    <w:rsid w:val="00AB3AD8"/>
    <w:rsid w:val="00B129A1"/>
    <w:rsid w:val="00B512F5"/>
    <w:rsid w:val="00BA0397"/>
    <w:rsid w:val="00C06557"/>
    <w:rsid w:val="00C914A6"/>
    <w:rsid w:val="00D027B6"/>
    <w:rsid w:val="00D97A03"/>
    <w:rsid w:val="00DC24EA"/>
    <w:rsid w:val="00EE4202"/>
    <w:rsid w:val="00EE7FDC"/>
    <w:rsid w:val="00F3338D"/>
    <w:rsid w:val="00F677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046ED"/>
  <w15:docId w15:val="{A31715C9-F2C7-4AA2-A7A1-7BC278EDC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Kopf-undFuzeilen">
    <w:name w:val="Kopf- und Fußzeilen"/>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Text">
    <w:name w:val="Text"/>
    <w:pPr>
      <w:spacing w:line="276" w:lineRule="auto"/>
    </w:pPr>
    <w:rPr>
      <w:rFonts w:ascii="Arial" w:hAnsi="Arial" w:cs="Arial Unicode MS"/>
      <w:color w:val="000000"/>
      <w:sz w:val="22"/>
      <w:szCs w:val="22"/>
      <w:u w:color="000000"/>
      <w:lang w:val="de-DE"/>
      <w14:textOutline w14:w="0" w14:cap="flat" w14:cmpd="sng" w14:algn="ctr">
        <w14:noFill/>
        <w14:prstDash w14:val="solid"/>
        <w14:bevel/>
      </w14:textOutline>
    </w:rPr>
  </w:style>
  <w:style w:type="character" w:customStyle="1" w:styleId="Ohne">
    <w:name w:val="Ohne"/>
  </w:style>
  <w:style w:type="character" w:customStyle="1" w:styleId="Hyperlink0">
    <w:name w:val="Hyperlink.0"/>
    <w:basedOn w:val="Ohne"/>
    <w:rPr>
      <w:outline w:val="0"/>
      <w:color w:val="1155CC"/>
      <w:u w:val="single" w:color="1155CC"/>
    </w:rPr>
  </w:style>
  <w:style w:type="character" w:styleId="Kommentarzeichen">
    <w:name w:val="annotation reference"/>
    <w:basedOn w:val="Absatz-Standardschriftart"/>
    <w:uiPriority w:val="99"/>
    <w:semiHidden/>
    <w:unhideWhenUsed/>
    <w:rsid w:val="00700890"/>
    <w:rPr>
      <w:sz w:val="16"/>
      <w:szCs w:val="16"/>
    </w:rPr>
  </w:style>
  <w:style w:type="paragraph" w:styleId="Kommentartext">
    <w:name w:val="annotation text"/>
    <w:basedOn w:val="Standard"/>
    <w:link w:val="KommentartextZchn"/>
    <w:uiPriority w:val="99"/>
    <w:semiHidden/>
    <w:unhideWhenUsed/>
    <w:rsid w:val="00700890"/>
    <w:rPr>
      <w:sz w:val="20"/>
      <w:szCs w:val="20"/>
    </w:rPr>
  </w:style>
  <w:style w:type="character" w:customStyle="1" w:styleId="KommentartextZchn">
    <w:name w:val="Kommentartext Zchn"/>
    <w:basedOn w:val="Absatz-Standardschriftart"/>
    <w:link w:val="Kommentartext"/>
    <w:uiPriority w:val="99"/>
    <w:semiHidden/>
    <w:rsid w:val="00700890"/>
  </w:style>
  <w:style w:type="paragraph" w:styleId="Kommentarthema">
    <w:name w:val="annotation subject"/>
    <w:basedOn w:val="Kommentartext"/>
    <w:next w:val="Kommentartext"/>
    <w:link w:val="KommentarthemaZchn"/>
    <w:uiPriority w:val="99"/>
    <w:semiHidden/>
    <w:unhideWhenUsed/>
    <w:rsid w:val="00700890"/>
    <w:rPr>
      <w:b/>
      <w:bCs/>
    </w:rPr>
  </w:style>
  <w:style w:type="character" w:customStyle="1" w:styleId="KommentarthemaZchn">
    <w:name w:val="Kommentarthema Zchn"/>
    <w:basedOn w:val="KommentartextZchn"/>
    <w:link w:val="Kommentarthema"/>
    <w:uiPriority w:val="99"/>
    <w:semiHidden/>
    <w:rsid w:val="00700890"/>
    <w:rPr>
      <w:b/>
      <w:bCs/>
    </w:rPr>
  </w:style>
  <w:style w:type="character" w:customStyle="1" w:styleId="NichtaufgelsteErwhnung1">
    <w:name w:val="Nicht aufgelöste Erwähnung1"/>
    <w:basedOn w:val="Absatz-Standardschriftart"/>
    <w:uiPriority w:val="99"/>
    <w:semiHidden/>
    <w:unhideWhenUsed/>
    <w:rsid w:val="002A716E"/>
    <w:rPr>
      <w:color w:val="605E5C"/>
      <w:shd w:val="clear" w:color="auto" w:fill="E1DFDD"/>
    </w:rPr>
  </w:style>
  <w:style w:type="paragraph" w:styleId="Sprechblasentext">
    <w:name w:val="Balloon Text"/>
    <w:basedOn w:val="Standard"/>
    <w:link w:val="SprechblasentextZchn"/>
    <w:uiPriority w:val="99"/>
    <w:semiHidden/>
    <w:unhideWhenUsed/>
    <w:rsid w:val="008B3A4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B3A4B"/>
    <w:rPr>
      <w:rFonts w:ascii="Tahoma" w:hAnsi="Tahoma" w:cs="Tahoma"/>
      <w:sz w:val="16"/>
      <w:szCs w:val="16"/>
    </w:rPr>
  </w:style>
  <w:style w:type="character" w:styleId="BesuchterLink">
    <w:name w:val="FollowedHyperlink"/>
    <w:basedOn w:val="Absatz-Standardschriftart"/>
    <w:uiPriority w:val="99"/>
    <w:semiHidden/>
    <w:unhideWhenUsed/>
    <w:rsid w:val="007C19E2"/>
    <w:rPr>
      <w:color w:val="FF00FF" w:themeColor="followedHyperlink"/>
      <w:u w:val="single"/>
    </w:rPr>
  </w:style>
  <w:style w:type="paragraph" w:styleId="Kopfzeile">
    <w:name w:val="header"/>
    <w:basedOn w:val="Standard"/>
    <w:link w:val="KopfzeileZchn"/>
    <w:uiPriority w:val="99"/>
    <w:unhideWhenUsed/>
    <w:rsid w:val="00EE4202"/>
    <w:pPr>
      <w:tabs>
        <w:tab w:val="center" w:pos="4536"/>
        <w:tab w:val="right" w:pos="9072"/>
      </w:tabs>
    </w:pPr>
  </w:style>
  <w:style w:type="character" w:customStyle="1" w:styleId="KopfzeileZchn">
    <w:name w:val="Kopfzeile Zchn"/>
    <w:basedOn w:val="Absatz-Standardschriftart"/>
    <w:link w:val="Kopfzeile"/>
    <w:uiPriority w:val="99"/>
    <w:rsid w:val="00EE4202"/>
    <w:rPr>
      <w:sz w:val="24"/>
      <w:szCs w:val="24"/>
    </w:rPr>
  </w:style>
  <w:style w:type="paragraph" w:styleId="Fuzeile">
    <w:name w:val="footer"/>
    <w:basedOn w:val="Standard"/>
    <w:link w:val="FuzeileZchn"/>
    <w:uiPriority w:val="99"/>
    <w:unhideWhenUsed/>
    <w:rsid w:val="00EE4202"/>
    <w:pPr>
      <w:tabs>
        <w:tab w:val="center" w:pos="4536"/>
        <w:tab w:val="right" w:pos="9072"/>
      </w:tabs>
    </w:pPr>
  </w:style>
  <w:style w:type="character" w:customStyle="1" w:styleId="FuzeileZchn">
    <w:name w:val="Fußzeile Zchn"/>
    <w:basedOn w:val="Absatz-Standardschriftart"/>
    <w:link w:val="Fuzeile"/>
    <w:uiPriority w:val="99"/>
    <w:rsid w:val="00EE4202"/>
    <w:rPr>
      <w:sz w:val="24"/>
      <w:szCs w:val="24"/>
    </w:rPr>
  </w:style>
  <w:style w:type="paragraph" w:styleId="KeinLeerraum">
    <w:name w:val="No Spacing"/>
    <w:uiPriority w:val="1"/>
    <w:qFormat/>
    <w:rsid w:val="00EE420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 w:val="22"/>
      <w:szCs w:val="22"/>
      <w:bdr w:val="none" w:sz="0" w:space="0" w:color="auto"/>
    </w:rPr>
  </w:style>
  <w:style w:type="paragraph" w:styleId="NurText">
    <w:name w:val="Plain Text"/>
    <w:basedOn w:val="Standard"/>
    <w:link w:val="NurTextZchn"/>
    <w:uiPriority w:val="99"/>
    <w:unhideWhenUsed/>
    <w:qFormat/>
    <w:rsid w:val="00EE4202"/>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u w:color="000000"/>
      <w:bdr w:val="none" w:sz="0" w:space="0" w:color="auto"/>
      <w:lang w:val="de-DE"/>
    </w:rPr>
  </w:style>
  <w:style w:type="character" w:customStyle="1" w:styleId="NurTextZchn">
    <w:name w:val="Nur Text Zchn"/>
    <w:basedOn w:val="Absatz-Standardschriftart"/>
    <w:link w:val="NurText"/>
    <w:uiPriority w:val="99"/>
    <w:qFormat/>
    <w:rsid w:val="00EE4202"/>
    <w:rPr>
      <w:rFonts w:ascii="Calibri" w:eastAsiaTheme="minorHAnsi" w:hAnsi="Calibri" w:cstheme="minorBidi"/>
      <w:sz w:val="22"/>
      <w:szCs w:val="21"/>
      <w:u w:color="000000"/>
      <w:bdr w:val="none" w:sz="0" w:space="0" w:color="auto"/>
      <w:lang w:val="de-DE"/>
    </w:rPr>
  </w:style>
  <w:style w:type="paragraph" w:styleId="StandardWeb">
    <w:name w:val="Normal (Web)"/>
    <w:basedOn w:val="Standard"/>
    <w:uiPriority w:val="99"/>
    <w:semiHidden/>
    <w:unhideWhenUsed/>
    <w:rsid w:val="00EE420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de-DE" w:eastAsia="de-DE"/>
    </w:rPr>
  </w:style>
  <w:style w:type="character" w:styleId="Fett">
    <w:name w:val="Strong"/>
    <w:basedOn w:val="Absatz-Standardschriftart"/>
    <w:uiPriority w:val="22"/>
    <w:qFormat/>
    <w:rsid w:val="00EE4202"/>
    <w:rPr>
      <w:b/>
      <w:bCs/>
    </w:rPr>
  </w:style>
  <w:style w:type="character" w:styleId="NichtaufgelsteErwhnung">
    <w:name w:val="Unresolved Mention"/>
    <w:basedOn w:val="Absatz-Standardschriftart"/>
    <w:uiPriority w:val="99"/>
    <w:semiHidden/>
    <w:unhideWhenUsed/>
    <w:rsid w:val="00EE42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515566">
      <w:bodyDiv w:val="1"/>
      <w:marLeft w:val="0"/>
      <w:marRight w:val="0"/>
      <w:marTop w:val="0"/>
      <w:marBottom w:val="0"/>
      <w:divBdr>
        <w:top w:val="none" w:sz="0" w:space="0" w:color="auto"/>
        <w:left w:val="none" w:sz="0" w:space="0" w:color="auto"/>
        <w:bottom w:val="none" w:sz="0" w:space="0" w:color="auto"/>
        <w:right w:val="none" w:sz="0" w:space="0" w:color="auto"/>
      </w:divBdr>
    </w:div>
    <w:div w:id="7007873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andfonline.com/doi/full/10.1080/14765276.2024.2371795" TargetMode="External"/><Relationship Id="rId13" Type="http://schemas.openxmlformats.org/officeDocument/2006/relationships/hyperlink" Target="https://www.oeaw.ac.at/imafo/"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wf.ac.at/forschungsradar/10.55776/ESP678" TargetMode="External"/><Relationship Id="rId12" Type="http://schemas.openxmlformats.org/officeDocument/2006/relationships/hyperlink" Target="mailto:alexander.marx@oeaw.ac.at"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ww.fwf.ac.at/social-media-directory" TargetMode="External"/><Relationship Id="rId1" Type="http://schemas.openxmlformats.org/officeDocument/2006/relationships/styles" Target="styles.xml"/><Relationship Id="rId6" Type="http://schemas.openxmlformats.org/officeDocument/2006/relationships/hyperlink" Target="https://www.oeaw.ac.at/imafo/forschung/historische-identitaetsforschung/mitarbeiterinnen/alexander-marx" TargetMode="External"/><Relationship Id="rId11" Type="http://schemas.openxmlformats.org/officeDocument/2006/relationships/hyperlink" Target="https://scilog.fwf.ac.at" TargetMode="External"/><Relationship Id="rId5" Type="http://schemas.openxmlformats.org/officeDocument/2006/relationships/endnotes" Target="endnotes.xml"/><Relationship Id="rId15" Type="http://schemas.openxmlformats.org/officeDocument/2006/relationships/hyperlink" Target="https://scilog.fwf.ac.at/" TargetMode="External"/><Relationship Id="rId10" Type="http://schemas.openxmlformats.org/officeDocument/2006/relationships/hyperlink" Target="https://www.oeaw.ac.at/imafo/forschung/historische-identitaetsforschung/projekte/weitere-projekte/conquest-of-jerusalem"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s://www.mdpi.com/2077-1444/16/7/919" TargetMode="External"/><Relationship Id="rId14" Type="http://schemas.openxmlformats.org/officeDocument/2006/relationships/hyperlink" Target="mailto:ingrid.ladner@fwf.ac.at"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1355</Words>
  <Characters>8537</Characters>
  <Application>Microsoft Office Word</Application>
  <DocSecurity>0</DocSecurity>
  <Lines>71</Lines>
  <Paragraphs>19</Paragraphs>
  <ScaleCrop>false</ScaleCrop>
  <HeadingPairs>
    <vt:vector size="2" baseType="variant">
      <vt:variant>
        <vt:lpstr>Titel</vt:lpstr>
      </vt:variant>
      <vt:variant>
        <vt:i4>1</vt:i4>
      </vt:variant>
    </vt:vector>
  </HeadingPairs>
  <TitlesOfParts>
    <vt:vector size="1" baseType="lpstr">
      <vt:lpstr/>
    </vt:vector>
  </TitlesOfParts>
  <Company>Oesterreichische Akademie der Wissenschaften</Company>
  <LinksUpToDate>false</LinksUpToDate>
  <CharactersWithSpaces>9873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Ladner, Ingrid</dc:creator>
  <cp:lastModifiedBy>Ladner, Ingrid</cp:lastModifiedBy>
  <cp:revision>15</cp:revision>
  <cp:lastPrinted>2026-03-20T16:15:00Z</cp:lastPrinted>
  <dcterms:created xsi:type="dcterms:W3CDTF">2026-03-20T16:16:00Z</dcterms:created>
  <dcterms:modified xsi:type="dcterms:W3CDTF">2026-03-23T15:11:00Z</dcterms:modified>
</cp:coreProperties>
</file>