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3B16" w14:textId="167DAA9A" w:rsidR="00AF6267" w:rsidRPr="00E21426" w:rsidRDefault="00554C41" w:rsidP="005544E2">
      <w:pPr>
        <w:spacing w:after="0" w:line="283" w:lineRule="auto"/>
        <w:rPr>
          <w:b/>
          <w:bCs/>
          <w:sz w:val="28"/>
          <w:szCs w:val="28"/>
        </w:rPr>
      </w:pPr>
      <w:r w:rsidRPr="00E21426">
        <w:rPr>
          <w:b/>
          <w:bCs/>
          <w:noProof/>
          <w:sz w:val="28"/>
          <w:szCs w:val="28"/>
        </w:rPr>
        <w:drawing>
          <wp:inline distT="0" distB="0" distL="0" distR="0" wp14:anchorId="4BA5F543" wp14:editId="38BEE7BA">
            <wp:extent cx="2416629" cy="1063668"/>
            <wp:effectExtent l="0" t="0" r="0" b="3175"/>
            <wp:docPr id="728381120" name="Grafik 1"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120" name="Grafik 1" descr="Ein Bild, das Schrift, Logo, Grafiken,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495" cy="1097940"/>
                    </a:xfrm>
                    <a:prstGeom prst="rect">
                      <a:avLst/>
                    </a:prstGeom>
                  </pic:spPr>
                </pic:pic>
              </a:graphicData>
            </a:graphic>
          </wp:inline>
        </w:drawing>
      </w:r>
      <w:r w:rsidRPr="00E21426">
        <w:rPr>
          <w:b/>
          <w:bCs/>
          <w:sz w:val="28"/>
          <w:szCs w:val="28"/>
        </w:rPr>
        <w:t xml:space="preserve">                                          </w:t>
      </w:r>
      <w:r w:rsidR="00AF6267" w:rsidRPr="00E21426">
        <w:rPr>
          <w:b/>
          <w:bCs/>
          <w:sz w:val="28"/>
          <w:szCs w:val="28"/>
        </w:rPr>
        <w:t xml:space="preserve">PRESSEMITTEILUNG </w:t>
      </w:r>
    </w:p>
    <w:p w14:paraId="13CEE184" w14:textId="77777777" w:rsidR="008A702B" w:rsidRPr="00E21426" w:rsidRDefault="008A702B" w:rsidP="005544E2">
      <w:pPr>
        <w:spacing w:after="0" w:line="283" w:lineRule="auto"/>
        <w:rPr>
          <w:b/>
          <w:bCs/>
          <w:sz w:val="28"/>
          <w:szCs w:val="28"/>
        </w:rPr>
      </w:pPr>
    </w:p>
    <w:p w14:paraId="12F875E8" w14:textId="77777777" w:rsidR="00133B78" w:rsidRPr="00E21426" w:rsidRDefault="00133B78" w:rsidP="005544E2">
      <w:pPr>
        <w:spacing w:after="0" w:line="283" w:lineRule="auto"/>
        <w:rPr>
          <w:rFonts w:eastAsia="Times New Roman" w:cs="Times New Roman"/>
          <w:kern w:val="0"/>
          <w:lang w:eastAsia="de-DE"/>
          <w14:ligatures w14:val="none"/>
        </w:rPr>
      </w:pPr>
    </w:p>
    <w:p w14:paraId="0BE98E80" w14:textId="7639244E" w:rsidR="00326EFB" w:rsidRPr="00CC6D2C" w:rsidRDefault="00326EFB" w:rsidP="00326EFB">
      <w:pPr>
        <w:spacing w:after="0" w:line="283" w:lineRule="auto"/>
        <w:rPr>
          <w:rFonts w:eastAsia="Times New Roman" w:cs="Times New Roman"/>
          <w:b/>
          <w:bCs/>
          <w:kern w:val="0"/>
          <w:sz w:val="28"/>
          <w:szCs w:val="28"/>
          <w:lang w:eastAsia="de-DE"/>
          <w14:ligatures w14:val="none"/>
        </w:rPr>
      </w:pPr>
      <w:r w:rsidRPr="00CC6D2C">
        <w:rPr>
          <w:rFonts w:eastAsia="Times New Roman" w:cs="Times New Roman"/>
          <w:b/>
          <w:bCs/>
          <w:kern w:val="0"/>
          <w:sz w:val="28"/>
          <w:szCs w:val="28"/>
          <w:lang w:eastAsia="de-DE"/>
          <w14:ligatures w14:val="none"/>
        </w:rPr>
        <w:t>NEUE IMPULSE FÜR DEN HANDEL: HISENSE BRINGT RGB MINILED IN MARKTRELEVANTE</w:t>
      </w:r>
      <w:r w:rsidR="00EB6249" w:rsidRPr="00CC6D2C">
        <w:rPr>
          <w:rFonts w:eastAsia="Times New Roman" w:cs="Times New Roman"/>
          <w:b/>
          <w:bCs/>
          <w:kern w:val="0"/>
          <w:sz w:val="28"/>
          <w:szCs w:val="28"/>
          <w:lang w:eastAsia="de-DE"/>
          <w14:ligatures w14:val="none"/>
        </w:rPr>
        <w:t>N</w:t>
      </w:r>
      <w:r w:rsidRPr="00CC6D2C">
        <w:rPr>
          <w:rFonts w:eastAsia="Times New Roman" w:cs="Times New Roman"/>
          <w:b/>
          <w:bCs/>
          <w:kern w:val="0"/>
          <w:sz w:val="28"/>
          <w:szCs w:val="28"/>
          <w:lang w:eastAsia="de-DE"/>
          <w14:ligatures w14:val="none"/>
        </w:rPr>
        <w:t xml:space="preserve"> </w:t>
      </w:r>
      <w:r w:rsidR="00782014" w:rsidRPr="00CC6D2C">
        <w:rPr>
          <w:rFonts w:eastAsia="Times New Roman" w:cs="Times New Roman"/>
          <w:b/>
          <w:bCs/>
          <w:kern w:val="0"/>
          <w:sz w:val="28"/>
          <w:szCs w:val="28"/>
          <w:lang w:eastAsia="de-DE"/>
          <w14:ligatures w14:val="none"/>
        </w:rPr>
        <w:t xml:space="preserve">BILDSCHIRMGRÖSSEN </w:t>
      </w:r>
    </w:p>
    <w:p w14:paraId="1A0C75BB" w14:textId="77777777" w:rsidR="00326EFB" w:rsidRPr="00CC6D2C" w:rsidRDefault="00326EFB" w:rsidP="00326EFB">
      <w:pPr>
        <w:pStyle w:val="StandardWeb"/>
        <w:spacing w:before="0" w:beforeAutospacing="0" w:after="0" w:afterAutospacing="0" w:line="283" w:lineRule="auto"/>
        <w:rPr>
          <w:rFonts w:asciiTheme="minorHAnsi" w:hAnsiTheme="minorHAnsi"/>
          <w:b/>
          <w:bCs/>
          <w:sz w:val="28"/>
          <w:szCs w:val="28"/>
        </w:rPr>
      </w:pPr>
    </w:p>
    <w:p w14:paraId="4E437D79" w14:textId="2F233116" w:rsidR="00326EFB" w:rsidRPr="00802411" w:rsidRDefault="00326EFB" w:rsidP="00802411">
      <w:pPr>
        <w:pStyle w:val="StandardWeb"/>
        <w:spacing w:before="0" w:beforeAutospacing="0" w:after="0" w:afterAutospacing="0" w:line="283" w:lineRule="auto"/>
        <w:rPr>
          <w:rFonts w:asciiTheme="minorHAnsi" w:hAnsiTheme="minorHAnsi"/>
        </w:rPr>
      </w:pPr>
      <w:r w:rsidRPr="00CC6D2C">
        <w:rPr>
          <w:rFonts w:asciiTheme="minorHAnsi" w:hAnsiTheme="minorHAnsi"/>
        </w:rPr>
        <w:t>Wien,</w:t>
      </w:r>
      <w:r w:rsidR="00F1715B">
        <w:rPr>
          <w:rFonts w:asciiTheme="minorHAnsi" w:hAnsiTheme="minorHAnsi"/>
        </w:rPr>
        <w:t xml:space="preserve"> April 2025 - </w:t>
      </w:r>
      <w:r w:rsidRPr="00CC6D2C">
        <w:rPr>
          <w:rFonts w:asciiTheme="minorHAnsi" w:hAnsiTheme="minorHAnsi"/>
        </w:rPr>
        <w:t xml:space="preserve">Hisense </w:t>
      </w:r>
      <w:r w:rsidR="00802411" w:rsidRPr="00CC6D2C">
        <w:rPr>
          <w:rFonts w:asciiTheme="minorHAnsi" w:hAnsiTheme="minorHAnsi"/>
        </w:rPr>
        <w:t xml:space="preserve">brachte </w:t>
      </w:r>
      <w:r w:rsidR="00EB6249" w:rsidRPr="00CC6D2C">
        <w:rPr>
          <w:rFonts w:asciiTheme="minorHAnsi" w:hAnsiTheme="minorHAnsi"/>
        </w:rPr>
        <w:t xml:space="preserve">2025 </w:t>
      </w:r>
      <w:r w:rsidR="00802411" w:rsidRPr="00CC6D2C">
        <w:rPr>
          <w:rFonts w:asciiTheme="minorHAnsi" w:hAnsiTheme="minorHAnsi"/>
        </w:rPr>
        <w:t xml:space="preserve">als erste Marke weltweit die RGB </w:t>
      </w:r>
      <w:proofErr w:type="spellStart"/>
      <w:r w:rsidR="00802411" w:rsidRPr="00CC6D2C">
        <w:rPr>
          <w:rFonts w:asciiTheme="minorHAnsi" w:hAnsiTheme="minorHAnsi"/>
        </w:rPr>
        <w:t>MiniLED</w:t>
      </w:r>
      <w:proofErr w:type="spellEnd"/>
      <w:r w:rsidR="00802411" w:rsidRPr="00CC6D2C">
        <w:rPr>
          <w:rFonts w:asciiTheme="minorHAnsi" w:hAnsiTheme="minorHAnsi"/>
        </w:rPr>
        <w:t>-Technologie auf den Markt</w:t>
      </w:r>
      <w:r w:rsidR="00EB6249" w:rsidRPr="00CC6D2C">
        <w:rPr>
          <w:rFonts w:asciiTheme="minorHAnsi" w:hAnsiTheme="minorHAnsi"/>
        </w:rPr>
        <w:t xml:space="preserve">. </w:t>
      </w:r>
      <w:r w:rsidRPr="00CC6D2C">
        <w:rPr>
          <w:rFonts w:asciiTheme="minorHAnsi" w:hAnsiTheme="minorHAnsi"/>
        </w:rPr>
        <w:t xml:space="preserve"> </w:t>
      </w:r>
      <w:r w:rsidR="00782014" w:rsidRPr="00CC6D2C">
        <w:rPr>
          <w:rFonts w:asciiTheme="minorHAnsi" w:hAnsiTheme="minorHAnsi"/>
        </w:rPr>
        <w:t>Rechtzeitig zur FIFA W</w:t>
      </w:r>
      <w:r w:rsidR="00BF58DD" w:rsidRPr="00CC6D2C">
        <w:rPr>
          <w:rFonts w:asciiTheme="minorHAnsi" w:hAnsiTheme="minorHAnsi"/>
        </w:rPr>
        <w:t>M</w:t>
      </w:r>
      <w:r w:rsidR="00782014" w:rsidRPr="00CC6D2C">
        <w:rPr>
          <w:rFonts w:asciiTheme="minorHAnsi" w:hAnsiTheme="minorHAnsi"/>
        </w:rPr>
        <w:t xml:space="preserve"> 2026</w:t>
      </w:r>
      <w:r w:rsidR="00BF58DD" w:rsidRPr="00CC6D2C">
        <w:rPr>
          <w:rFonts w:asciiTheme="minorHAnsi" w:hAnsiTheme="minorHAnsi"/>
        </w:rPr>
        <w:t>“</w:t>
      </w:r>
      <w:r w:rsidR="00782014" w:rsidRPr="00CC6D2C">
        <w:rPr>
          <w:rFonts w:asciiTheme="minorHAnsi" w:hAnsiTheme="minorHAnsi"/>
        </w:rPr>
        <w:t xml:space="preserve"> bringt Hisense diese </w:t>
      </w:r>
      <w:r w:rsidRPr="00CC6D2C">
        <w:rPr>
          <w:rFonts w:asciiTheme="minorHAnsi" w:hAnsiTheme="minorHAnsi"/>
        </w:rPr>
        <w:t xml:space="preserve">wegweisende Display-Innovation mit den Serien UX, UR9S und UR8S </w:t>
      </w:r>
      <w:r w:rsidR="00EB6249" w:rsidRPr="00CC6D2C">
        <w:rPr>
          <w:rFonts w:asciiTheme="minorHAnsi" w:hAnsiTheme="minorHAnsi"/>
        </w:rPr>
        <w:t xml:space="preserve">in </w:t>
      </w:r>
      <w:r w:rsidR="00782014" w:rsidRPr="00CC6D2C">
        <w:rPr>
          <w:rFonts w:asciiTheme="minorHAnsi" w:hAnsiTheme="minorHAnsi"/>
        </w:rPr>
        <w:t xml:space="preserve">allen Bildschirmgrößen </w:t>
      </w:r>
      <w:r w:rsidRPr="00CC6D2C">
        <w:rPr>
          <w:rFonts w:asciiTheme="minorHAnsi" w:hAnsiTheme="minorHAnsi"/>
        </w:rPr>
        <w:t xml:space="preserve">nach Europa. Durch den Einsatz von RGB </w:t>
      </w:r>
      <w:proofErr w:type="spellStart"/>
      <w:r w:rsidRPr="00CC6D2C">
        <w:rPr>
          <w:rFonts w:asciiTheme="minorHAnsi" w:hAnsiTheme="minorHAnsi"/>
        </w:rPr>
        <w:t>MiniLED</w:t>
      </w:r>
      <w:proofErr w:type="spellEnd"/>
      <w:r w:rsidRPr="00CC6D2C">
        <w:rPr>
          <w:rFonts w:asciiTheme="minorHAnsi" w:hAnsiTheme="minorHAnsi"/>
        </w:rPr>
        <w:t>-Chips anstelle herkömmlicher einfarbiger Hintergrundbeleuchtungen erzielt die neue</w:t>
      </w:r>
      <w:r w:rsidRPr="00802411">
        <w:rPr>
          <w:rFonts w:asciiTheme="minorHAnsi" w:hAnsiTheme="minorHAnsi"/>
        </w:rPr>
        <w:t xml:space="preserve"> Generation präzisere Farben, stabilere Helligkeit und höheren Sehkomfort – über eine breite Auswahl an Bildschirmgrößen hinweg.</w:t>
      </w:r>
    </w:p>
    <w:p w14:paraId="0E317AAE" w14:textId="77777777" w:rsidR="00326EFB" w:rsidRDefault="00326EFB" w:rsidP="00326EFB">
      <w:pPr>
        <w:pStyle w:val="StandardWeb"/>
        <w:spacing w:before="0" w:beforeAutospacing="0" w:after="0" w:afterAutospacing="0" w:line="283" w:lineRule="auto"/>
        <w:rPr>
          <w:rFonts w:asciiTheme="minorHAnsi" w:hAnsiTheme="minorHAnsi"/>
        </w:rPr>
      </w:pPr>
    </w:p>
    <w:p w14:paraId="1B3C1205" w14:textId="77777777" w:rsidR="00326EFB" w:rsidRDefault="00326EFB" w:rsidP="00326EFB">
      <w:pPr>
        <w:pStyle w:val="StandardWeb"/>
        <w:spacing w:before="0" w:beforeAutospacing="0" w:after="0" w:afterAutospacing="0" w:line="283" w:lineRule="auto"/>
        <w:rPr>
          <w:rFonts w:asciiTheme="minorHAnsi" w:hAnsiTheme="minorHAnsi"/>
        </w:rPr>
      </w:pPr>
      <w:r w:rsidRPr="007E55BE">
        <w:rPr>
          <w:rFonts w:asciiTheme="minorHAnsi" w:hAnsiTheme="minorHAnsi" w:cstheme="minorHAnsi"/>
          <w:noProof/>
        </w:rPr>
        <w:drawing>
          <wp:inline distT="0" distB="0" distL="0" distR="0" wp14:anchorId="0F524B28" wp14:editId="6319F713">
            <wp:extent cx="5760720" cy="32397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39770"/>
                    </a:xfrm>
                    <a:prstGeom prst="rect">
                      <a:avLst/>
                    </a:prstGeom>
                    <a:noFill/>
                    <a:ln>
                      <a:noFill/>
                    </a:ln>
                  </pic:spPr>
                </pic:pic>
              </a:graphicData>
            </a:graphic>
          </wp:inline>
        </w:drawing>
      </w:r>
    </w:p>
    <w:p w14:paraId="6A8C151E" w14:textId="77777777" w:rsidR="00326EFB" w:rsidRPr="00F57C6C" w:rsidRDefault="00326EFB" w:rsidP="00326EFB">
      <w:pPr>
        <w:pStyle w:val="StandardWeb"/>
        <w:spacing w:before="0" w:beforeAutospacing="0" w:after="0" w:afterAutospacing="0" w:line="283" w:lineRule="auto"/>
        <w:rPr>
          <w:rFonts w:asciiTheme="minorHAnsi" w:hAnsiTheme="minorHAnsi"/>
        </w:rPr>
      </w:pPr>
    </w:p>
    <w:p w14:paraId="663B0307" w14:textId="2A066817" w:rsidR="00CC6D2C" w:rsidRPr="00CC6D2C" w:rsidRDefault="00326EFB" w:rsidP="00CC6D2C">
      <w:pPr>
        <w:pStyle w:val="StandardWeb"/>
        <w:spacing w:before="0" w:beforeAutospacing="0" w:after="0" w:afterAutospacing="0" w:line="283" w:lineRule="auto"/>
        <w:rPr>
          <w:rFonts w:asciiTheme="minorHAnsi" w:hAnsiTheme="minorHAnsi"/>
          <w:sz w:val="22"/>
          <w:szCs w:val="22"/>
        </w:rPr>
      </w:pPr>
      <w:r w:rsidRPr="00F57C6C">
        <w:rPr>
          <w:rFonts w:asciiTheme="minorHAnsi" w:hAnsiTheme="minorHAnsi"/>
        </w:rPr>
        <w:br/>
      </w:r>
      <w:r w:rsidR="00CC6D2C" w:rsidRPr="00CC6D2C">
        <w:rPr>
          <w:rFonts w:asciiTheme="minorHAnsi" w:hAnsiTheme="minorHAnsi"/>
          <w:sz w:val="22"/>
          <w:szCs w:val="22"/>
        </w:rPr>
        <w:t xml:space="preserve">„Als weltweiter Marktführer bei TVs ab 100 Zoll setzen wir seit Jahren Maßstäbe für das große Heimkinoerlebnis. Jetzt </w:t>
      </w:r>
      <w:r w:rsidR="00CC6D2C">
        <w:rPr>
          <w:rFonts w:asciiTheme="minorHAnsi" w:hAnsiTheme="minorHAnsi"/>
          <w:sz w:val="22"/>
          <w:szCs w:val="22"/>
        </w:rPr>
        <w:t xml:space="preserve">bringen wir dieses Erlebnis rechtzeitig zum weltweit größten Fußballfest der Welt in alle Wohnzimmer – mit der gleichen Bildqualität, die bisher den Großformaten vorbehalten war.  </w:t>
      </w:r>
      <w:r w:rsidR="00CC6D2C" w:rsidRPr="00CC6D2C">
        <w:rPr>
          <w:rFonts w:asciiTheme="minorHAnsi" w:hAnsiTheme="minorHAnsi"/>
          <w:sz w:val="22"/>
          <w:szCs w:val="22"/>
        </w:rPr>
        <w:t>Damit machen wir unsere Technologie für deutlich mehr Haushalte zugänglich – ohne Kompromisse bei Performance, Farbpräzision oder Sehkomfort</w:t>
      </w:r>
      <w:r w:rsidR="00CC6D2C">
        <w:rPr>
          <w:rFonts w:asciiTheme="minorHAnsi" w:hAnsiTheme="minorHAnsi"/>
          <w:sz w:val="22"/>
          <w:szCs w:val="22"/>
        </w:rPr>
        <w:t xml:space="preserve">“, freut sich </w:t>
      </w:r>
      <w:r w:rsidR="00CC6D2C">
        <w:rPr>
          <w:rFonts w:asciiTheme="minorHAnsi" w:hAnsiTheme="minorHAnsi"/>
          <w:sz w:val="22"/>
          <w:szCs w:val="22"/>
        </w:rPr>
        <w:lastRenderedPageBreak/>
        <w:t xml:space="preserve">Andreas </w:t>
      </w:r>
      <w:proofErr w:type="spellStart"/>
      <w:r w:rsidR="00CC6D2C">
        <w:rPr>
          <w:rFonts w:asciiTheme="minorHAnsi" w:hAnsiTheme="minorHAnsi"/>
          <w:sz w:val="22"/>
          <w:szCs w:val="22"/>
        </w:rPr>
        <w:t>Kuzmits</w:t>
      </w:r>
      <w:proofErr w:type="spellEnd"/>
      <w:r w:rsidR="00CC6D2C">
        <w:rPr>
          <w:rFonts w:asciiTheme="minorHAnsi" w:hAnsiTheme="minorHAnsi"/>
          <w:sz w:val="22"/>
          <w:szCs w:val="22"/>
        </w:rPr>
        <w:t xml:space="preserve">, Geschäftsführer von Hisense Gorenje Austria über die auch für den Handel so wichtige Ausweitung auf nachfragestarke Formate. </w:t>
      </w:r>
    </w:p>
    <w:p w14:paraId="17982810" w14:textId="77777777" w:rsidR="00CC6D2C" w:rsidRPr="00CC6D2C" w:rsidRDefault="00CC6D2C" w:rsidP="00CC6D2C">
      <w:pPr>
        <w:pStyle w:val="StandardWeb"/>
        <w:spacing w:before="0" w:beforeAutospacing="0" w:after="0" w:afterAutospacing="0" w:line="283" w:lineRule="auto"/>
        <w:rPr>
          <w:rFonts w:asciiTheme="minorHAnsi" w:hAnsiTheme="minorHAnsi"/>
          <w:sz w:val="22"/>
          <w:szCs w:val="22"/>
        </w:rPr>
      </w:pPr>
    </w:p>
    <w:p w14:paraId="1B130ECB" w14:textId="00F023C0" w:rsidR="00326EFB" w:rsidRPr="00EB6249" w:rsidRDefault="00326EFB" w:rsidP="00326EFB">
      <w:pPr>
        <w:pStyle w:val="StandardWeb"/>
        <w:spacing w:before="0" w:beforeAutospacing="0" w:after="0" w:afterAutospacing="0" w:line="283" w:lineRule="auto"/>
        <w:rPr>
          <w:rFonts w:asciiTheme="minorHAnsi" w:hAnsiTheme="minorHAnsi"/>
          <w:b/>
          <w:bCs/>
          <w:sz w:val="22"/>
          <w:szCs w:val="22"/>
        </w:rPr>
      </w:pPr>
      <w:r w:rsidRPr="00EB6249">
        <w:rPr>
          <w:rFonts w:asciiTheme="minorHAnsi" w:hAnsiTheme="minorHAnsi"/>
          <w:b/>
          <w:bCs/>
          <w:sz w:val="22"/>
          <w:szCs w:val="22"/>
        </w:rPr>
        <w:t xml:space="preserve">Vom Ursprung in den Alltag: RGB </w:t>
      </w:r>
      <w:proofErr w:type="spellStart"/>
      <w:r w:rsidRPr="00EB6249">
        <w:rPr>
          <w:rFonts w:asciiTheme="minorHAnsi" w:hAnsiTheme="minorHAnsi"/>
          <w:b/>
          <w:bCs/>
          <w:sz w:val="22"/>
          <w:szCs w:val="22"/>
        </w:rPr>
        <w:t>MiniLED</w:t>
      </w:r>
      <w:proofErr w:type="spellEnd"/>
      <w:r w:rsidRPr="00EB6249">
        <w:rPr>
          <w:rFonts w:asciiTheme="minorHAnsi" w:hAnsiTheme="minorHAnsi"/>
          <w:b/>
          <w:bCs/>
          <w:sz w:val="22"/>
          <w:szCs w:val="22"/>
        </w:rPr>
        <w:t xml:space="preserve"> in Wohnzimmergrößen</w:t>
      </w:r>
    </w:p>
    <w:p w14:paraId="452B54FE" w14:textId="78B6A580" w:rsidR="00326EFB" w:rsidRPr="00EB6249" w:rsidRDefault="00326EFB" w:rsidP="00326EFB">
      <w:pPr>
        <w:pStyle w:val="StandardWeb"/>
        <w:spacing w:before="0" w:beforeAutospacing="0" w:after="0" w:afterAutospacing="0" w:line="283" w:lineRule="auto"/>
        <w:rPr>
          <w:rFonts w:asciiTheme="minorHAnsi" w:hAnsiTheme="minorHAnsi"/>
          <w:sz w:val="22"/>
          <w:szCs w:val="22"/>
        </w:rPr>
      </w:pPr>
      <w:r w:rsidRPr="00EB6249">
        <w:rPr>
          <w:rFonts w:asciiTheme="minorHAnsi" w:hAnsiTheme="minorHAnsi"/>
          <w:sz w:val="22"/>
          <w:szCs w:val="22"/>
        </w:rPr>
        <w:t xml:space="preserve">Ab sofort ist die Technologie nicht mehr auf Großgeräte beschränkt. Mit den Serien UR9S (65’’–85’’) und UR8S (55’’–100’’) bringt Hisense RGB </w:t>
      </w:r>
      <w:proofErr w:type="spellStart"/>
      <w:r w:rsidRPr="00EB6249">
        <w:rPr>
          <w:rFonts w:asciiTheme="minorHAnsi" w:hAnsiTheme="minorHAnsi"/>
          <w:sz w:val="22"/>
          <w:szCs w:val="22"/>
        </w:rPr>
        <w:t>MiniLED</w:t>
      </w:r>
      <w:proofErr w:type="spellEnd"/>
      <w:r w:rsidRPr="00EB6249">
        <w:rPr>
          <w:rFonts w:asciiTheme="minorHAnsi" w:hAnsiTheme="minorHAnsi"/>
          <w:sz w:val="22"/>
          <w:szCs w:val="22"/>
        </w:rPr>
        <w:t xml:space="preserve"> in marktrelevante Größen.</w:t>
      </w:r>
      <w:r w:rsidR="00EB6249" w:rsidRPr="00EB6249">
        <w:rPr>
          <w:rFonts w:asciiTheme="minorHAnsi" w:hAnsiTheme="minorHAnsi"/>
          <w:sz w:val="22"/>
          <w:szCs w:val="22"/>
        </w:rPr>
        <w:t xml:space="preserve"> </w:t>
      </w:r>
      <w:r w:rsidRPr="00EB6249">
        <w:rPr>
          <w:rFonts w:asciiTheme="minorHAnsi" w:hAnsiTheme="minorHAnsi"/>
          <w:sz w:val="22"/>
          <w:szCs w:val="22"/>
        </w:rPr>
        <w:t xml:space="preserve">Damit werden die Vorteile der Technologie erstmals für eine breite Zielgruppe zugänglich. Eine größere Auswahl an Bildschirmgrößen, verbesserte Energieeffizienz und konsistente Farbwiedergabe über alle Modelle hinweg sorgen dafür, dass RGB </w:t>
      </w:r>
      <w:proofErr w:type="spellStart"/>
      <w:r w:rsidRPr="00EB6249">
        <w:rPr>
          <w:rFonts w:asciiTheme="minorHAnsi" w:hAnsiTheme="minorHAnsi"/>
          <w:sz w:val="22"/>
          <w:szCs w:val="22"/>
        </w:rPr>
        <w:t>MiniLED</w:t>
      </w:r>
      <w:proofErr w:type="spellEnd"/>
      <w:r w:rsidRPr="00EB6249">
        <w:rPr>
          <w:rFonts w:asciiTheme="minorHAnsi" w:hAnsiTheme="minorHAnsi"/>
          <w:sz w:val="22"/>
          <w:szCs w:val="22"/>
        </w:rPr>
        <w:t xml:space="preserve"> im Alltag erlebbar wird – mit sichtbaren Verbesserungen bei Bildklarheit, </w:t>
      </w:r>
      <w:r w:rsidR="00EB6249" w:rsidRPr="00EB6249">
        <w:rPr>
          <w:rFonts w:asciiTheme="minorHAnsi" w:hAnsiTheme="minorHAnsi"/>
          <w:sz w:val="22"/>
          <w:szCs w:val="22"/>
        </w:rPr>
        <w:t xml:space="preserve">Komfort und Farbintensität.  </w:t>
      </w:r>
    </w:p>
    <w:p w14:paraId="2A68668C" w14:textId="77777777" w:rsidR="00326EFB" w:rsidRPr="00EB6249" w:rsidRDefault="00326EFB" w:rsidP="00326EFB">
      <w:pPr>
        <w:pStyle w:val="StandardWeb"/>
        <w:spacing w:before="0" w:beforeAutospacing="0" w:after="0" w:afterAutospacing="0" w:line="283" w:lineRule="auto"/>
        <w:rPr>
          <w:rFonts w:asciiTheme="minorHAnsi" w:hAnsiTheme="minorHAnsi"/>
          <w:b/>
          <w:bCs/>
          <w:sz w:val="22"/>
          <w:szCs w:val="22"/>
        </w:rPr>
      </w:pPr>
      <w:r w:rsidRPr="00EB6249">
        <w:rPr>
          <w:rFonts w:asciiTheme="minorHAnsi" w:hAnsiTheme="minorHAnsi"/>
          <w:sz w:val="22"/>
          <w:szCs w:val="22"/>
        </w:rPr>
        <w:br/>
      </w:r>
      <w:r w:rsidRPr="00EB6249">
        <w:rPr>
          <w:rFonts w:asciiTheme="minorHAnsi" w:hAnsiTheme="minorHAnsi"/>
          <w:b/>
          <w:bCs/>
          <w:sz w:val="22"/>
          <w:szCs w:val="22"/>
        </w:rPr>
        <w:t>Kerntechnologie: Licht neu gedacht</w:t>
      </w:r>
    </w:p>
    <w:p w14:paraId="0232CD46" w14:textId="77777777" w:rsidR="00326EFB" w:rsidRPr="00EB6249" w:rsidRDefault="00326EFB" w:rsidP="00326EFB">
      <w:pPr>
        <w:pStyle w:val="StandardWeb"/>
        <w:spacing w:before="0" w:beforeAutospacing="0" w:after="0" w:afterAutospacing="0" w:line="283" w:lineRule="auto"/>
        <w:rPr>
          <w:rFonts w:asciiTheme="minorHAnsi" w:hAnsiTheme="minorHAnsi"/>
          <w:sz w:val="22"/>
          <w:szCs w:val="22"/>
        </w:rPr>
      </w:pPr>
      <w:r w:rsidRPr="00EB6249">
        <w:rPr>
          <w:rFonts w:asciiTheme="minorHAnsi" w:hAnsiTheme="minorHAnsi"/>
          <w:sz w:val="22"/>
          <w:szCs w:val="22"/>
        </w:rPr>
        <w:t xml:space="preserve">Hisense verfolgt einen klaren Ansatz: Bildqualität beginnt mit der Lichtquelle. Anstatt auf eine weiße Hintergrundbeleuchtung mit nachgelagerter Farbkorrektur zu setzen, erzeugen RGB </w:t>
      </w:r>
      <w:proofErr w:type="spellStart"/>
      <w:r w:rsidRPr="00EB6249">
        <w:rPr>
          <w:rFonts w:asciiTheme="minorHAnsi" w:hAnsiTheme="minorHAnsi"/>
          <w:sz w:val="22"/>
          <w:szCs w:val="22"/>
        </w:rPr>
        <w:t>MiniLED</w:t>
      </w:r>
      <w:proofErr w:type="spellEnd"/>
      <w:r w:rsidRPr="00EB6249">
        <w:rPr>
          <w:rFonts w:asciiTheme="minorHAnsi" w:hAnsiTheme="minorHAnsi"/>
          <w:sz w:val="22"/>
          <w:szCs w:val="22"/>
        </w:rPr>
        <w:t>-Chips reines rotes, grünes und blaues Licht direkt im Panel.</w:t>
      </w:r>
    </w:p>
    <w:p w14:paraId="71F9A3AF" w14:textId="1AB76DA6" w:rsidR="00326EFB" w:rsidRPr="00EB6249" w:rsidRDefault="00326EFB" w:rsidP="00326EFB">
      <w:pPr>
        <w:pStyle w:val="StandardWeb"/>
        <w:spacing w:before="0" w:beforeAutospacing="0" w:after="0" w:afterAutospacing="0" w:line="283" w:lineRule="auto"/>
        <w:rPr>
          <w:rFonts w:asciiTheme="minorHAnsi" w:hAnsiTheme="minorHAnsi"/>
          <w:sz w:val="22"/>
          <w:szCs w:val="22"/>
        </w:rPr>
      </w:pPr>
      <w:r w:rsidRPr="00EB6249">
        <w:rPr>
          <w:rFonts w:asciiTheme="minorHAnsi" w:hAnsiTheme="minorHAnsi"/>
          <w:sz w:val="22"/>
          <w:szCs w:val="22"/>
        </w:rPr>
        <w:t xml:space="preserve">Die Hi-View AI Engine </w:t>
      </w:r>
      <w:r w:rsidRPr="00212443">
        <w:rPr>
          <w:rFonts w:asciiTheme="minorHAnsi" w:hAnsiTheme="minorHAnsi"/>
          <w:sz w:val="22"/>
          <w:szCs w:val="22"/>
        </w:rPr>
        <w:t>RGB steuert dieses Licht präzise und koordiniert Farbe und Helligkeit simultan. Das Ergebnis: stabile Highlights, satte Farben auch in hellen Szenen und ein insgesamt klareres, nicht ausgewaschenes Bild</w:t>
      </w:r>
      <w:r w:rsidR="00782014" w:rsidRPr="00212443">
        <w:rPr>
          <w:rFonts w:asciiTheme="minorHAnsi" w:hAnsiTheme="minorHAnsi"/>
          <w:sz w:val="22"/>
          <w:szCs w:val="22"/>
        </w:rPr>
        <w:t xml:space="preserve"> und ein nahezu perfekter Schwarzwert.</w:t>
      </w:r>
      <w:r w:rsidR="00782014">
        <w:rPr>
          <w:rFonts w:asciiTheme="minorHAnsi" w:hAnsiTheme="minorHAnsi"/>
          <w:sz w:val="22"/>
          <w:szCs w:val="22"/>
        </w:rPr>
        <w:t xml:space="preserve"> </w:t>
      </w:r>
    </w:p>
    <w:p w14:paraId="205BB2BD" w14:textId="77777777" w:rsidR="00212443" w:rsidRDefault="00212443"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p>
    <w:p w14:paraId="110965B1" w14:textId="04287D4D"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b/>
          <w:bCs/>
          <w:sz w:val="22"/>
          <w:szCs w:val="22"/>
        </w:rPr>
      </w:pPr>
      <w:r w:rsidRPr="00EB6249">
        <w:rPr>
          <w:rFonts w:asciiTheme="minorHAnsi" w:hAnsiTheme="minorHAnsi"/>
          <w:b/>
          <w:bCs/>
          <w:sz w:val="22"/>
          <w:szCs w:val="22"/>
        </w:rPr>
        <w:t>Sichtbare Vorteile im Alltag</w:t>
      </w:r>
    </w:p>
    <w:p w14:paraId="308EFE1C" w14:textId="260FA0D3"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Realistischere Farben</w:t>
      </w:r>
      <w:r w:rsidRPr="00EB6249">
        <w:rPr>
          <w:rFonts w:asciiTheme="minorHAnsi" w:hAnsiTheme="minorHAnsi"/>
          <w:sz w:val="22"/>
          <w:szCs w:val="22"/>
        </w:rPr>
        <w:br/>
        <w:t xml:space="preserve">RGB </w:t>
      </w:r>
      <w:proofErr w:type="spellStart"/>
      <w:r w:rsidRPr="00EB6249">
        <w:rPr>
          <w:rFonts w:asciiTheme="minorHAnsi" w:hAnsiTheme="minorHAnsi"/>
          <w:sz w:val="22"/>
          <w:szCs w:val="22"/>
        </w:rPr>
        <w:t>MiniLED</w:t>
      </w:r>
      <w:proofErr w:type="spellEnd"/>
      <w:r w:rsidRPr="00EB6249">
        <w:rPr>
          <w:rFonts w:asciiTheme="minorHAnsi" w:hAnsiTheme="minorHAnsi"/>
          <w:sz w:val="22"/>
          <w:szCs w:val="22"/>
        </w:rPr>
        <w:t xml:space="preserve"> ermöglicht ein besonders breites Farbspektrum von bis zu 100 % BT.2020*. </w:t>
      </w:r>
      <w:r w:rsidR="00C518AF">
        <w:rPr>
          <w:rFonts w:asciiTheme="minorHAnsi" w:hAnsiTheme="minorHAnsi"/>
          <w:sz w:val="22"/>
          <w:szCs w:val="22"/>
        </w:rPr>
        <w:t xml:space="preserve">Die </w:t>
      </w:r>
      <w:r w:rsidRPr="00EB6249">
        <w:rPr>
          <w:rFonts w:asciiTheme="minorHAnsi" w:hAnsiTheme="minorHAnsi"/>
          <w:sz w:val="22"/>
          <w:szCs w:val="22"/>
        </w:rPr>
        <w:t>Farben wirken intensiver, natürlicher und näher an der Realität.</w:t>
      </w:r>
    </w:p>
    <w:p w14:paraId="78B74498" w14:textId="1C8AFD83"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Konstante Helligkeit</w:t>
      </w:r>
      <w:r w:rsidRPr="00EB6249">
        <w:rPr>
          <w:rFonts w:asciiTheme="minorHAnsi" w:hAnsiTheme="minorHAnsi"/>
          <w:sz w:val="22"/>
          <w:szCs w:val="22"/>
        </w:rPr>
        <w:br/>
        <w:t xml:space="preserve">Auch bei sehr hellen Bildinhalten bleiben </w:t>
      </w:r>
      <w:r w:rsidR="00C518AF">
        <w:rPr>
          <w:rFonts w:asciiTheme="minorHAnsi" w:hAnsiTheme="minorHAnsi"/>
          <w:sz w:val="22"/>
          <w:szCs w:val="22"/>
        </w:rPr>
        <w:t xml:space="preserve">die </w:t>
      </w:r>
      <w:r w:rsidRPr="00EB6249">
        <w:rPr>
          <w:rFonts w:asciiTheme="minorHAnsi" w:hAnsiTheme="minorHAnsi"/>
          <w:sz w:val="22"/>
          <w:szCs w:val="22"/>
        </w:rPr>
        <w:t>Farben stabil. Szenen wie Sonnenuntergänge oder Schneelandschaften wirken lebendig und differenziert.</w:t>
      </w:r>
    </w:p>
    <w:p w14:paraId="29CF85EA" w14:textId="64887419"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Mehr Sehkomfort</w:t>
      </w:r>
      <w:r w:rsidRPr="00EB6249">
        <w:rPr>
          <w:rFonts w:asciiTheme="minorHAnsi" w:hAnsiTheme="minorHAnsi"/>
          <w:sz w:val="22"/>
          <w:szCs w:val="22"/>
        </w:rPr>
        <w:br/>
        <w:t xml:space="preserve">Die Reduktion von blauem Licht auf Hardware-Ebene (TÜV Rheinland zertifiziert) sorgt für eine augenschonendere Darstellung – ideal für </w:t>
      </w:r>
      <w:r w:rsidR="00C518AF">
        <w:rPr>
          <w:rFonts w:asciiTheme="minorHAnsi" w:hAnsiTheme="minorHAnsi"/>
          <w:sz w:val="22"/>
          <w:szCs w:val="22"/>
        </w:rPr>
        <w:t xml:space="preserve">eine </w:t>
      </w:r>
      <w:r w:rsidRPr="00EB6249">
        <w:rPr>
          <w:rFonts w:asciiTheme="minorHAnsi" w:hAnsiTheme="minorHAnsi"/>
          <w:sz w:val="22"/>
          <w:szCs w:val="22"/>
        </w:rPr>
        <w:t>längere Nutzung.</w:t>
      </w:r>
    </w:p>
    <w:p w14:paraId="19511DE1" w14:textId="77777777"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Höhere Energieeffizienz</w:t>
      </w:r>
      <w:r w:rsidRPr="00EB6249">
        <w:rPr>
          <w:rFonts w:asciiTheme="minorHAnsi" w:hAnsiTheme="minorHAnsi"/>
          <w:sz w:val="22"/>
          <w:szCs w:val="22"/>
        </w:rPr>
        <w:br/>
        <w:t>Die direkte Farberzeugung über die LEDs reduziert Verluste und verbessert die Energieeffizienz bei gleichbleibend hoher Leistung.</w:t>
      </w:r>
    </w:p>
    <w:p w14:paraId="57F3F93C" w14:textId="77777777"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b/>
          <w:bCs/>
          <w:sz w:val="22"/>
          <w:szCs w:val="22"/>
        </w:rPr>
      </w:pPr>
      <w:r w:rsidRPr="00EB6249">
        <w:rPr>
          <w:rFonts w:asciiTheme="minorHAnsi" w:hAnsiTheme="minorHAnsi"/>
          <w:sz w:val="22"/>
          <w:szCs w:val="22"/>
        </w:rPr>
        <w:br/>
      </w:r>
      <w:r w:rsidRPr="00EB6249">
        <w:rPr>
          <w:rFonts w:asciiTheme="minorHAnsi" w:hAnsiTheme="minorHAnsi"/>
          <w:b/>
          <w:bCs/>
          <w:sz w:val="22"/>
          <w:szCs w:val="22"/>
        </w:rPr>
        <w:t>Technologie für nachhaltige Bildqualität</w:t>
      </w:r>
    </w:p>
    <w:p w14:paraId="45AD4AFD" w14:textId="77777777"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Langfristige Farbstabilität</w:t>
      </w:r>
      <w:r w:rsidRPr="00EB6249">
        <w:rPr>
          <w:rFonts w:asciiTheme="minorHAnsi" w:hAnsiTheme="minorHAnsi"/>
          <w:sz w:val="22"/>
          <w:szCs w:val="22"/>
        </w:rPr>
        <w:br/>
        <w:t>Optimierte LED-Komponenten sichern eine dauerhaft präzise Farbwiedergabe.</w:t>
      </w:r>
    </w:p>
    <w:p w14:paraId="24229DBC" w14:textId="77777777"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Präzisere Steuerung</w:t>
      </w:r>
      <w:r w:rsidRPr="00EB6249">
        <w:rPr>
          <w:rFonts w:asciiTheme="minorHAnsi" w:hAnsiTheme="minorHAnsi"/>
          <w:sz w:val="22"/>
          <w:szCs w:val="22"/>
        </w:rPr>
        <w:br/>
        <w:t xml:space="preserve">Die Kombination aus Farb- und Helligkeitssteuerung ermöglicht eine feinere Abstimmung innerhalb der </w:t>
      </w:r>
      <w:proofErr w:type="spellStart"/>
      <w:r w:rsidRPr="00EB6249">
        <w:rPr>
          <w:rFonts w:asciiTheme="minorHAnsi" w:hAnsiTheme="minorHAnsi"/>
          <w:sz w:val="22"/>
          <w:szCs w:val="22"/>
        </w:rPr>
        <w:t>Local</w:t>
      </w:r>
      <w:proofErr w:type="spellEnd"/>
      <w:r w:rsidRPr="00EB6249">
        <w:rPr>
          <w:rFonts w:asciiTheme="minorHAnsi" w:hAnsiTheme="minorHAnsi"/>
          <w:sz w:val="22"/>
          <w:szCs w:val="22"/>
        </w:rPr>
        <w:t>-</w:t>
      </w:r>
      <w:proofErr w:type="spellStart"/>
      <w:r w:rsidRPr="00EB6249">
        <w:rPr>
          <w:rFonts w:asciiTheme="minorHAnsi" w:hAnsiTheme="minorHAnsi"/>
          <w:sz w:val="22"/>
          <w:szCs w:val="22"/>
        </w:rPr>
        <w:t>Dimming</w:t>
      </w:r>
      <w:proofErr w:type="spellEnd"/>
      <w:r w:rsidRPr="00EB6249">
        <w:rPr>
          <w:rFonts w:asciiTheme="minorHAnsi" w:hAnsiTheme="minorHAnsi"/>
          <w:sz w:val="22"/>
          <w:szCs w:val="22"/>
        </w:rPr>
        <w:t>-Zonen.</w:t>
      </w:r>
    </w:p>
    <w:p w14:paraId="5F09F642" w14:textId="77777777" w:rsidR="00326EFB" w:rsidRPr="00EB6249" w:rsidRDefault="00326EFB" w:rsidP="00EB6249">
      <w:pPr>
        <w:pStyle w:val="StandardWeb"/>
        <w:tabs>
          <w:tab w:val="left" w:pos="284"/>
        </w:tabs>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Optimierte Lichtführung</w:t>
      </w:r>
      <w:r w:rsidRPr="00EB6249">
        <w:rPr>
          <w:rFonts w:asciiTheme="minorHAnsi" w:hAnsiTheme="minorHAnsi"/>
          <w:sz w:val="22"/>
          <w:szCs w:val="22"/>
        </w:rPr>
        <w:br/>
        <w:t xml:space="preserve">Mikro- und Nano-Linsen reduzieren </w:t>
      </w:r>
      <w:proofErr w:type="spellStart"/>
      <w:r w:rsidRPr="00EB6249">
        <w:rPr>
          <w:rFonts w:asciiTheme="minorHAnsi" w:hAnsiTheme="minorHAnsi"/>
          <w:sz w:val="22"/>
          <w:szCs w:val="22"/>
        </w:rPr>
        <w:t>Blooming</w:t>
      </w:r>
      <w:proofErr w:type="spellEnd"/>
      <w:r w:rsidRPr="00EB6249">
        <w:rPr>
          <w:rFonts w:asciiTheme="minorHAnsi" w:hAnsiTheme="minorHAnsi"/>
          <w:sz w:val="22"/>
          <w:szCs w:val="22"/>
        </w:rPr>
        <w:t>-Effekte und verbessern den Kontrast.</w:t>
      </w:r>
    </w:p>
    <w:p w14:paraId="1C392E53" w14:textId="77777777" w:rsidR="00326EFB" w:rsidRPr="00EB6249" w:rsidRDefault="00326EFB" w:rsidP="00EB6249">
      <w:pPr>
        <w:pStyle w:val="StandardWeb"/>
        <w:spacing w:before="0" w:beforeAutospacing="0" w:after="0" w:afterAutospacing="0" w:line="283" w:lineRule="auto"/>
        <w:ind w:left="142" w:hanging="142"/>
        <w:rPr>
          <w:rFonts w:asciiTheme="minorHAnsi" w:hAnsiTheme="minorHAnsi"/>
          <w:sz w:val="22"/>
          <w:szCs w:val="22"/>
        </w:rPr>
      </w:pPr>
      <w:r w:rsidRPr="00EB6249">
        <w:rPr>
          <w:rFonts w:asciiTheme="minorHAnsi" w:hAnsiTheme="minorHAnsi"/>
          <w:sz w:val="22"/>
          <w:szCs w:val="22"/>
        </w:rPr>
        <w:t>• Pantone-zertifizierte Farbgenauigkeit</w:t>
      </w:r>
      <w:r w:rsidRPr="00EB6249">
        <w:rPr>
          <w:rFonts w:asciiTheme="minorHAnsi" w:hAnsiTheme="minorHAnsi"/>
          <w:sz w:val="22"/>
          <w:szCs w:val="22"/>
        </w:rPr>
        <w:br/>
        <w:t xml:space="preserve">Mehr als 2.000 Farben </w:t>
      </w:r>
      <w:proofErr w:type="gramStart"/>
      <w:r w:rsidRPr="00EB6249">
        <w:rPr>
          <w:rFonts w:asciiTheme="minorHAnsi" w:hAnsiTheme="minorHAnsi"/>
          <w:sz w:val="22"/>
          <w:szCs w:val="22"/>
        </w:rPr>
        <w:t>werden</w:t>
      </w:r>
      <w:proofErr w:type="gramEnd"/>
      <w:r w:rsidRPr="00EB6249">
        <w:rPr>
          <w:rFonts w:asciiTheme="minorHAnsi" w:hAnsiTheme="minorHAnsi"/>
          <w:sz w:val="22"/>
          <w:szCs w:val="22"/>
        </w:rPr>
        <w:t xml:space="preserve"> originalgetreu dargestellt.</w:t>
      </w:r>
    </w:p>
    <w:p w14:paraId="68EA70C3" w14:textId="3CF37424" w:rsidR="00326EFB" w:rsidRPr="00EB6249" w:rsidRDefault="00326EFB" w:rsidP="00EB6249">
      <w:pPr>
        <w:spacing w:before="100" w:beforeAutospacing="1" w:after="100" w:afterAutospacing="1" w:line="240" w:lineRule="auto"/>
        <w:rPr>
          <w:rFonts w:eastAsia="Times New Roman" w:cs="Times New Roman"/>
          <w:kern w:val="0"/>
          <w:sz w:val="22"/>
          <w:szCs w:val="22"/>
          <w:lang w:eastAsia="de-DE"/>
          <w14:ligatures w14:val="none"/>
        </w:rPr>
      </w:pPr>
      <w:r w:rsidRPr="00EB6249">
        <w:rPr>
          <w:sz w:val="22"/>
          <w:szCs w:val="22"/>
        </w:rPr>
        <w:lastRenderedPageBreak/>
        <w:br/>
      </w:r>
      <w:r w:rsidR="00EB6249" w:rsidRPr="00EB6249">
        <w:rPr>
          <w:rFonts w:eastAsia="Times New Roman" w:cs="Times New Roman"/>
          <w:kern w:val="0"/>
          <w:sz w:val="22"/>
          <w:szCs w:val="22"/>
          <w:lang w:eastAsia="de-DE"/>
          <w14:ligatures w14:val="none"/>
        </w:rPr>
        <w:t xml:space="preserve">Gemeinsam zeigen die drei Serien, wie sich RGB </w:t>
      </w:r>
      <w:proofErr w:type="spellStart"/>
      <w:r w:rsidR="00EB6249" w:rsidRPr="00EB6249">
        <w:rPr>
          <w:rFonts w:eastAsia="Times New Roman" w:cs="Times New Roman"/>
          <w:kern w:val="0"/>
          <w:sz w:val="22"/>
          <w:szCs w:val="22"/>
          <w:lang w:eastAsia="de-DE"/>
          <w14:ligatures w14:val="none"/>
        </w:rPr>
        <w:t>MiniLED</w:t>
      </w:r>
      <w:proofErr w:type="spellEnd"/>
      <w:r w:rsidR="00EB6249" w:rsidRPr="00EB6249">
        <w:rPr>
          <w:rFonts w:eastAsia="Times New Roman" w:cs="Times New Roman"/>
          <w:kern w:val="0"/>
          <w:sz w:val="22"/>
          <w:szCs w:val="22"/>
          <w:lang w:eastAsia="de-DE"/>
          <w14:ligatures w14:val="none"/>
        </w:rPr>
        <w:t xml:space="preserve"> flexibel an unterschiedliche Wohnumgebungen anpasst – vom High-End-Heimkino über anspruchsvolle Entertainment-Räume bis hin zum vielseitigen Alltagsgebrauch.</w:t>
      </w:r>
    </w:p>
    <w:p w14:paraId="7DBAB418" w14:textId="01202D2A" w:rsidR="00EB6249" w:rsidRPr="00EB6249" w:rsidRDefault="00EB6249" w:rsidP="00EB6249">
      <w:pPr>
        <w:spacing w:after="0" w:line="283" w:lineRule="auto"/>
        <w:rPr>
          <w:sz w:val="22"/>
          <w:szCs w:val="22"/>
        </w:rPr>
      </w:pPr>
      <w:r w:rsidRPr="00EB6249">
        <w:rPr>
          <w:b/>
          <w:bCs/>
          <w:sz w:val="22"/>
          <w:szCs w:val="22"/>
        </w:rPr>
        <w:t>Engagement im Fußball: Vom Nachwuchs bis zur Weltbühne</w:t>
      </w:r>
      <w:r w:rsidRPr="00EB6249">
        <w:rPr>
          <w:sz w:val="22"/>
          <w:szCs w:val="22"/>
        </w:rPr>
        <w:br/>
        <w:t xml:space="preserve">Hisense baut sein Fußball-Engagement gezielt auf allen Ebenen aus – von internationalen Großereignissen bis zur Förderung junger Talente vor Ort. Als offizieller Sponsor der </w:t>
      </w:r>
      <w:proofErr w:type="gramStart"/>
      <w:r w:rsidRPr="00EB6249">
        <w:rPr>
          <w:sz w:val="22"/>
          <w:szCs w:val="22"/>
        </w:rPr>
        <w:t>FIFA Fußball</w:t>
      </w:r>
      <w:proofErr w:type="gramEnd"/>
      <w:r w:rsidRPr="00EB6249">
        <w:rPr>
          <w:sz w:val="22"/>
          <w:szCs w:val="22"/>
        </w:rPr>
        <w:t>-Weltmeisterschaft 2026</w:t>
      </w:r>
      <w:r w:rsidRPr="00B47C1E">
        <w:t xml:space="preserve">™ </w:t>
      </w:r>
      <w:r w:rsidRPr="00EB6249">
        <w:rPr>
          <w:sz w:val="22"/>
          <w:szCs w:val="22"/>
        </w:rPr>
        <w:t xml:space="preserve">stärkt das Unternehmen seine globale Präsenz. Gleichzeitig engagiert sich Hisense in der ADMIRAL Bundesliga und rückt dort gezielt Nachwuchsspielerinnen und -spieler in den Fokus. Initiativen wie das </w:t>
      </w:r>
      <w:proofErr w:type="spellStart"/>
      <w:r w:rsidRPr="00EB6249">
        <w:rPr>
          <w:sz w:val="22"/>
          <w:szCs w:val="22"/>
        </w:rPr>
        <w:t>Knirpsturnier</w:t>
      </w:r>
      <w:proofErr w:type="spellEnd"/>
      <w:r w:rsidRPr="00EB6249">
        <w:rPr>
          <w:sz w:val="22"/>
          <w:szCs w:val="22"/>
        </w:rPr>
        <w:t xml:space="preserve"> in der Steiermark ergänzen dieses Engagement und unterstreichen die Strategie: internationale Sichtbarkeit und regionale Verankerung gehen Hand in Hand.</w:t>
      </w:r>
    </w:p>
    <w:p w14:paraId="4C620E2C" w14:textId="77777777" w:rsidR="00EB6249" w:rsidRPr="00EB6249" w:rsidRDefault="00EB6249" w:rsidP="00EB6249">
      <w:pPr>
        <w:spacing w:after="0" w:line="283" w:lineRule="auto"/>
        <w:rPr>
          <w:rFonts w:eastAsia="Times New Roman" w:cs="Times New Roman"/>
          <w:b/>
          <w:bCs/>
          <w:kern w:val="0"/>
          <w:sz w:val="22"/>
          <w:szCs w:val="22"/>
          <w:lang w:eastAsia="de-DE"/>
          <w14:ligatures w14:val="none"/>
        </w:rPr>
      </w:pPr>
    </w:p>
    <w:p w14:paraId="4260BF62" w14:textId="18964E2B" w:rsidR="00326EFB" w:rsidRPr="00EB6249" w:rsidRDefault="00EB6249" w:rsidP="00EB6249">
      <w:pPr>
        <w:spacing w:after="0" w:line="283" w:lineRule="auto"/>
        <w:rPr>
          <w:rFonts w:eastAsia="Times New Roman" w:cs="Times New Roman"/>
          <w:kern w:val="0"/>
          <w:sz w:val="22"/>
          <w:szCs w:val="22"/>
          <w:lang w:eastAsia="de-DE"/>
          <w14:ligatures w14:val="none"/>
        </w:rPr>
      </w:pPr>
      <w:r w:rsidRPr="00EB6249">
        <w:rPr>
          <w:rFonts w:eastAsia="Times New Roman" w:cs="Times New Roman"/>
          <w:b/>
          <w:bCs/>
          <w:kern w:val="0"/>
          <w:sz w:val="22"/>
          <w:szCs w:val="22"/>
          <w:lang w:eastAsia="de-DE"/>
          <w14:ligatures w14:val="none"/>
        </w:rPr>
        <w:t>Klare Marktführerschaft bei Großbild-TVs</w:t>
      </w:r>
      <w:r w:rsidRPr="00EB6249">
        <w:rPr>
          <w:sz w:val="22"/>
          <w:szCs w:val="22"/>
        </w:rPr>
        <w:br/>
        <w:t xml:space="preserve">Hisense </w:t>
      </w:r>
      <w:r>
        <w:rPr>
          <w:sz w:val="22"/>
          <w:szCs w:val="22"/>
        </w:rPr>
        <w:t>ist die führende Marke weltweit</w:t>
      </w:r>
      <w:r w:rsidRPr="00EB6249">
        <w:rPr>
          <w:sz w:val="22"/>
          <w:szCs w:val="22"/>
        </w:rPr>
        <w:t xml:space="preserve"> bei Fernsehern ab 100 Zoll und baut diese Position weiter aus. Große Bildschirmdiagonalen entwickeln sich zunehmend zum zentralen Wachstumstreiber und stehen für ein neues gemeinsames Nutzungserlebnis bei Sport, Gaming und Entertainment. Die 2026er-Generation erweitert die Verfügbarkeit großformatiger Modelle über mehrere Serien hinweg. Mit hoher Bildwiederholrate, starker Gaming-Performance sowie Standards wie IMAX Enhanced und Dolby Vision positioniert sich Hisense klar im Premiumsegment – mit dem Ziel, große Displays für eine breite Zielgruppe zugänglich zu macheSichtbarkeit und regionale Verankerung gehen Hand in Hand.</w:t>
      </w:r>
    </w:p>
    <w:p w14:paraId="1BDC829B" w14:textId="77777777" w:rsidR="00EB6249" w:rsidRPr="00EB6249" w:rsidRDefault="00EB6249" w:rsidP="00326EFB">
      <w:pPr>
        <w:pStyle w:val="StandardWeb"/>
        <w:spacing w:before="0" w:beforeAutospacing="0" w:after="0" w:afterAutospacing="0" w:line="283" w:lineRule="auto"/>
        <w:rPr>
          <w:rFonts w:asciiTheme="minorHAnsi" w:eastAsiaTheme="minorHAnsi" w:hAnsiTheme="minorHAnsi" w:cstheme="minorBidi"/>
          <w:kern w:val="2"/>
          <w:sz w:val="22"/>
          <w:szCs w:val="22"/>
          <w:lang w:val="de-AT" w:eastAsia="en-US"/>
          <w14:ligatures w14:val="standardContextual"/>
        </w:rPr>
      </w:pPr>
    </w:p>
    <w:p w14:paraId="7859867B" w14:textId="77777777" w:rsidR="00EB6249" w:rsidRPr="00EB6249" w:rsidRDefault="00EB6249" w:rsidP="00326EFB">
      <w:pPr>
        <w:pStyle w:val="StandardWeb"/>
        <w:spacing w:before="0" w:beforeAutospacing="0" w:after="0" w:afterAutospacing="0" w:line="283" w:lineRule="auto"/>
        <w:rPr>
          <w:rFonts w:asciiTheme="minorHAnsi" w:hAnsiTheme="minorHAnsi"/>
          <w:sz w:val="22"/>
          <w:szCs w:val="22"/>
        </w:rPr>
      </w:pPr>
    </w:p>
    <w:p w14:paraId="149AF5CF" w14:textId="77777777" w:rsidR="00326EFB" w:rsidRPr="00EB6249" w:rsidRDefault="00326EFB" w:rsidP="00326EFB">
      <w:pPr>
        <w:pStyle w:val="StandardWeb"/>
        <w:numPr>
          <w:ilvl w:val="0"/>
          <w:numId w:val="13"/>
        </w:numPr>
        <w:spacing w:before="0" w:beforeAutospacing="0" w:after="0" w:afterAutospacing="0" w:line="283" w:lineRule="auto"/>
        <w:rPr>
          <w:rFonts w:asciiTheme="minorHAnsi" w:hAnsiTheme="minorHAnsi"/>
          <w:sz w:val="18"/>
          <w:szCs w:val="18"/>
        </w:rPr>
      </w:pPr>
      <w:r w:rsidRPr="00EB6249">
        <w:rPr>
          <w:rFonts w:asciiTheme="minorHAnsi" w:hAnsiTheme="minorHAnsi"/>
          <w:sz w:val="18"/>
          <w:szCs w:val="18"/>
        </w:rPr>
        <w:t>Die Angabe von 100 % BT.2020 basiert auf Labormessungen von Hisense. Die tatsächliche Leistung kann je nach Nutzung variieren.</w:t>
      </w:r>
    </w:p>
    <w:p w14:paraId="17D4CC8F" w14:textId="77777777" w:rsidR="00326EFB" w:rsidRPr="00F57C6C" w:rsidRDefault="00326EFB" w:rsidP="00326EFB">
      <w:pPr>
        <w:spacing w:after="0" w:line="283" w:lineRule="auto"/>
      </w:pPr>
    </w:p>
    <w:p w14:paraId="59B852EE" w14:textId="77777777" w:rsidR="00326EFB" w:rsidRPr="00F57C6C" w:rsidRDefault="00326EFB" w:rsidP="00326EFB">
      <w:pPr>
        <w:spacing w:after="0" w:line="283" w:lineRule="auto"/>
      </w:pPr>
    </w:p>
    <w:p w14:paraId="0EBABAB0" w14:textId="77777777" w:rsidR="00C77402" w:rsidRPr="00E21426" w:rsidRDefault="00C77402" w:rsidP="005544E2">
      <w:pPr>
        <w:pStyle w:val="Default"/>
        <w:spacing w:line="283" w:lineRule="auto"/>
        <w:rPr>
          <w:rFonts w:asciiTheme="minorHAnsi" w:hAnsiTheme="minorHAnsi"/>
          <w:b/>
          <w:bCs/>
          <w:sz w:val="22"/>
          <w:szCs w:val="22"/>
        </w:rPr>
      </w:pPr>
      <w:r w:rsidRPr="00E21426">
        <w:rPr>
          <w:rFonts w:asciiTheme="minorHAnsi" w:hAnsiTheme="minorHAnsi"/>
          <w:b/>
          <w:bCs/>
          <w:sz w:val="22"/>
          <w:szCs w:val="22"/>
        </w:rPr>
        <w:t xml:space="preserve">Über Hisense Gorenje Austria </w:t>
      </w:r>
    </w:p>
    <w:p w14:paraId="2C9898AD" w14:textId="77777777" w:rsidR="00C77402" w:rsidRPr="00E21426" w:rsidRDefault="00C77402" w:rsidP="005544E2">
      <w:pPr>
        <w:pStyle w:val="Default"/>
        <w:spacing w:line="283" w:lineRule="auto"/>
        <w:rPr>
          <w:rFonts w:asciiTheme="minorHAnsi" w:hAnsiTheme="minorHAnsi"/>
          <w:sz w:val="22"/>
          <w:szCs w:val="22"/>
        </w:rPr>
      </w:pPr>
    </w:p>
    <w:p w14:paraId="7525FB2A" w14:textId="77777777" w:rsidR="00C77402" w:rsidRPr="00E21426" w:rsidRDefault="00C77402" w:rsidP="005544E2">
      <w:pPr>
        <w:spacing w:after="0" w:line="283" w:lineRule="auto"/>
        <w:rPr>
          <w:color w:val="000000" w:themeColor="text1"/>
          <w:sz w:val="22"/>
          <w:szCs w:val="22"/>
        </w:rPr>
      </w:pPr>
      <w:r w:rsidRPr="00E21426">
        <w:rPr>
          <w:color w:val="000000" w:themeColor="text1"/>
          <w:sz w:val="22"/>
          <w:szCs w:val="22"/>
        </w:rPr>
        <w:t xml:space="preserve">Hisense Gorenje ist einer der größten Hersteller von Haushaltsgeräten in Europa. Die österreichische Niederlassung – seit Jänner 2023 offiziell die „Hisense Gorenje Austria GmbH“ – besteht mit eigenem Standort seit 1975, die Zentrale befindet sich in Wien. Hisense Gorenje Austria verzeichnete im Jahr 2024 einen Umsatz von rund 47 Millionen. Das Produktsortiment umfasst Kühl-/Gefriergeräte, Waschmaschinen, Waschtrockner und Wäschetrockner, Geschirrspüler, Küchengeräte, Küchen- und Haushaltskleingeräte, Warmwasserspeicher sowie Klimageräte. Ab 2025 vertreibt die österreichische Niederlassung auch die innovativen TV-Geräte aus dem Hause Hisense direkt. </w:t>
      </w:r>
    </w:p>
    <w:p w14:paraId="275E9B68" w14:textId="77777777" w:rsidR="00C77402" w:rsidRPr="00E21426" w:rsidRDefault="00C77402" w:rsidP="005544E2">
      <w:pPr>
        <w:spacing w:after="0" w:line="283" w:lineRule="auto"/>
        <w:rPr>
          <w:color w:val="000000" w:themeColor="text1"/>
          <w:sz w:val="22"/>
          <w:szCs w:val="22"/>
        </w:rPr>
      </w:pPr>
      <w:r w:rsidRPr="00E21426">
        <w:rPr>
          <w:color w:val="000000" w:themeColor="text1"/>
          <w:sz w:val="22"/>
          <w:szCs w:val="22"/>
        </w:rPr>
        <w:t xml:space="preserve">Gorenje ist ebenfalls ein verlässlicher Partner im Einbaubereich (Backöfen bzw. Herde, Kochfelder, Dunstabzugshauben, Mikrowellen) und somit ein Vollsortiment-Anbieter für den Haushalt. </w:t>
      </w:r>
    </w:p>
    <w:p w14:paraId="737CA97D" w14:textId="77777777" w:rsidR="00C77402" w:rsidRPr="00E21426" w:rsidRDefault="00C77402" w:rsidP="005544E2">
      <w:pPr>
        <w:spacing w:after="0" w:line="283" w:lineRule="auto"/>
        <w:rPr>
          <w:color w:val="000000" w:themeColor="text1"/>
          <w:sz w:val="22"/>
          <w:szCs w:val="22"/>
        </w:rPr>
      </w:pPr>
      <w:r w:rsidRPr="00E21426">
        <w:rPr>
          <w:color w:val="000000" w:themeColor="text1"/>
          <w:sz w:val="22"/>
          <w:szCs w:val="22"/>
        </w:rPr>
        <w:t xml:space="preserve">2018 wurde das Unternehmen ein Teil der Hisense Europe Group und profitiert somit vom Zugang zu den Ergebnissen umfangreicher F&amp;E-Aktivitäten des Mutterkonzerns. Hisense, in China beheimatet und einer der weltweit führenden Hersteller von Unterhaltungselektronik, </w:t>
      </w:r>
      <w:r w:rsidRPr="00E21426">
        <w:rPr>
          <w:color w:val="000000" w:themeColor="text1"/>
          <w:sz w:val="22"/>
          <w:szCs w:val="22"/>
        </w:rPr>
        <w:lastRenderedPageBreak/>
        <w:t>betreibt 16 Zentren für Forschung und Entwicklung. Rund fünf Prozent des Gesamtumsatzes werden investiert, um in allen Produktsegmenten ein Vorreiter für technologische Innovationen zu bleiben.</w:t>
      </w:r>
    </w:p>
    <w:p w14:paraId="6C3BB597" w14:textId="77777777" w:rsidR="00596A05" w:rsidRPr="00E21426" w:rsidRDefault="00596A05" w:rsidP="005544E2">
      <w:pPr>
        <w:spacing w:after="0" w:line="283" w:lineRule="auto"/>
        <w:rPr>
          <w:color w:val="000000" w:themeColor="text1"/>
          <w:sz w:val="22"/>
          <w:szCs w:val="22"/>
        </w:rPr>
      </w:pPr>
    </w:p>
    <w:p w14:paraId="6D3D6229" w14:textId="77777777" w:rsidR="00133B78" w:rsidRPr="00E21426" w:rsidRDefault="00133B78" w:rsidP="005544E2">
      <w:pPr>
        <w:spacing w:after="0" w:line="283" w:lineRule="auto"/>
        <w:outlineLvl w:val="2"/>
        <w:rPr>
          <w:rFonts w:eastAsia="Times New Roman" w:cs="Times New Roman"/>
          <w:b/>
          <w:bCs/>
          <w:kern w:val="0"/>
          <w:sz w:val="22"/>
          <w:szCs w:val="22"/>
          <w:lang w:eastAsia="de-DE"/>
          <w14:ligatures w14:val="none"/>
        </w:rPr>
      </w:pPr>
      <w:r w:rsidRPr="00E21426">
        <w:rPr>
          <w:rFonts w:eastAsia="Times New Roman" w:cs="Times New Roman"/>
          <w:b/>
          <w:bCs/>
          <w:kern w:val="0"/>
          <w:sz w:val="22"/>
          <w:szCs w:val="22"/>
          <w:lang w:eastAsia="de-DE"/>
          <w14:ligatures w14:val="none"/>
        </w:rPr>
        <w:t>Über Hisense</w:t>
      </w:r>
    </w:p>
    <w:p w14:paraId="66EBC085" w14:textId="1F60F0F5" w:rsidR="00133B78" w:rsidRPr="00576A5E" w:rsidRDefault="00133B78" w:rsidP="005544E2">
      <w:pPr>
        <w:spacing w:after="0" w:line="283" w:lineRule="auto"/>
        <w:rPr>
          <w:rFonts w:eastAsia="Times New Roman" w:cs="Times New Roman"/>
          <w:kern w:val="0"/>
          <w:sz w:val="22"/>
          <w:szCs w:val="22"/>
          <w:lang w:val="de-DE" w:eastAsia="de-DE"/>
          <w14:ligatures w14:val="none"/>
        </w:rPr>
      </w:pPr>
      <w:r w:rsidRPr="00E21426">
        <w:rPr>
          <w:rFonts w:eastAsia="Times New Roman" w:cs="Times New Roman"/>
          <w:kern w:val="0"/>
          <w:sz w:val="22"/>
          <w:szCs w:val="22"/>
          <w:lang w:eastAsia="de-DE"/>
          <w14:ligatures w14:val="none"/>
        </w:rPr>
        <w:t xml:space="preserve">Hisense wurde 1969 gegründet und ist ein weltweit anerkannter Marktführer für Haushaltsgeräte und Unterhaltungselektronik mit Aktivitäten in über 160 Ländern. Das Unternehmen ist auf hochwertige Multimedia-Produkte, Haushaltsgeräte und intelligente IT-Lösungen spezialisiert. Laut </w:t>
      </w:r>
      <w:proofErr w:type="spellStart"/>
      <w:r w:rsidRPr="00E21426">
        <w:rPr>
          <w:rFonts w:eastAsia="Times New Roman" w:cs="Times New Roman"/>
          <w:kern w:val="0"/>
          <w:sz w:val="22"/>
          <w:szCs w:val="22"/>
          <w:lang w:eastAsia="de-DE"/>
          <w14:ligatures w14:val="none"/>
        </w:rPr>
        <w:t>Omdia</w:t>
      </w:r>
      <w:proofErr w:type="spellEnd"/>
      <w:r w:rsidRPr="00E21426">
        <w:rPr>
          <w:rFonts w:eastAsia="Times New Roman" w:cs="Times New Roman"/>
          <w:kern w:val="0"/>
          <w:sz w:val="22"/>
          <w:szCs w:val="22"/>
          <w:lang w:eastAsia="de-DE"/>
          <w14:ligatures w14:val="none"/>
        </w:rPr>
        <w:t xml:space="preserve"> belegt Hisense weltweit Platz 1 im Segment der Fernseher mit 100 Zoll und mehr (2023–Q3 2025). Als offizieller Sponsor der </w:t>
      </w:r>
      <w:proofErr w:type="gramStart"/>
      <w:r w:rsidRPr="00E21426">
        <w:rPr>
          <w:rFonts w:eastAsia="Times New Roman" w:cs="Times New Roman"/>
          <w:kern w:val="0"/>
          <w:sz w:val="22"/>
          <w:szCs w:val="22"/>
          <w:lang w:eastAsia="de-DE"/>
          <w14:ligatures w14:val="none"/>
        </w:rPr>
        <w:t>FIFA Fußball</w:t>
      </w:r>
      <w:proofErr w:type="gramEnd"/>
      <w:r w:rsidRPr="00E21426">
        <w:rPr>
          <w:rFonts w:eastAsia="Times New Roman" w:cs="Times New Roman"/>
          <w:kern w:val="0"/>
          <w:sz w:val="22"/>
          <w:szCs w:val="22"/>
          <w:lang w:eastAsia="de-DE"/>
          <w14:ligatures w14:val="none"/>
        </w:rPr>
        <w:t>-Weltmeisterschaft 2026™ engagiert sich Hisense weltweit in Sportpartnerschaften, um Menschen rund um den Globus zu verbinden</w:t>
      </w:r>
      <w:r w:rsidR="00505E39" w:rsidRPr="00E21426">
        <w:rPr>
          <w:rFonts w:eastAsia="Times New Roman" w:cs="Times New Roman"/>
          <w:kern w:val="0"/>
          <w:sz w:val="22"/>
          <w:szCs w:val="22"/>
          <w:lang w:eastAsia="de-DE"/>
          <w14:ligatures w14:val="none"/>
        </w:rPr>
        <w:t>.</w:t>
      </w:r>
    </w:p>
    <w:p w14:paraId="5D0D95EC" w14:textId="77777777" w:rsidR="00133B78" w:rsidRPr="00E21426" w:rsidRDefault="00133B78" w:rsidP="005544E2">
      <w:pPr>
        <w:spacing w:after="0" w:line="283" w:lineRule="auto"/>
        <w:rPr>
          <w:color w:val="000000" w:themeColor="text1"/>
          <w:sz w:val="22"/>
          <w:szCs w:val="22"/>
        </w:rPr>
      </w:pPr>
    </w:p>
    <w:p w14:paraId="335C7964" w14:textId="77777777" w:rsidR="00C77402" w:rsidRPr="00E21426" w:rsidRDefault="00C77402" w:rsidP="005544E2">
      <w:pPr>
        <w:spacing w:after="0" w:line="283" w:lineRule="auto"/>
        <w:rPr>
          <w:rFonts w:eastAsia="Times New Roman" w:cs="Times New Roman"/>
          <w:kern w:val="0"/>
          <w:lang w:eastAsia="de-DE"/>
          <w14:ligatures w14:val="none"/>
        </w:rPr>
      </w:pPr>
    </w:p>
    <w:p w14:paraId="740DACC7" w14:textId="77777777" w:rsidR="00D33E24" w:rsidRPr="00E21426" w:rsidRDefault="00D33E24" w:rsidP="005544E2">
      <w:pPr>
        <w:spacing w:after="0" w:line="283" w:lineRule="auto"/>
        <w:rPr>
          <w:color w:val="000000" w:themeColor="text1"/>
        </w:rPr>
      </w:pPr>
    </w:p>
    <w:p w14:paraId="547A8518" w14:textId="1B218EAF" w:rsidR="00547C30" w:rsidRDefault="00547C30" w:rsidP="005544E2">
      <w:pPr>
        <w:spacing w:after="0" w:line="283" w:lineRule="auto"/>
        <w:rPr>
          <w:rFonts w:cs="Arial"/>
          <w:color w:val="000000" w:themeColor="text1"/>
          <w:sz w:val="22"/>
          <w:szCs w:val="22"/>
        </w:rPr>
      </w:pPr>
      <w:hyperlink r:id="rId12" w:history="1">
        <w:r w:rsidRPr="00E21426">
          <w:rPr>
            <w:rStyle w:val="Hyperlink"/>
            <w:rFonts w:cs="Arial"/>
            <w:sz w:val="22"/>
            <w:szCs w:val="22"/>
          </w:rPr>
          <w:t>Zur Fotogalerie geht es hier</w:t>
        </w:r>
      </w:hyperlink>
      <w:r w:rsidRPr="00E21426">
        <w:rPr>
          <w:rFonts w:cs="Arial"/>
          <w:color w:val="000000" w:themeColor="text1"/>
          <w:sz w:val="22"/>
          <w:szCs w:val="22"/>
        </w:rPr>
        <w:t xml:space="preserve">: </w:t>
      </w:r>
    </w:p>
    <w:p w14:paraId="1CE86138" w14:textId="77777777" w:rsidR="00473C8E" w:rsidRPr="00E21426" w:rsidRDefault="00473C8E" w:rsidP="005544E2">
      <w:pPr>
        <w:spacing w:after="0" w:line="283" w:lineRule="auto"/>
        <w:rPr>
          <w:rFonts w:cs="Arial"/>
          <w:color w:val="000000" w:themeColor="text1"/>
          <w:sz w:val="22"/>
          <w:szCs w:val="22"/>
        </w:rPr>
      </w:pPr>
    </w:p>
    <w:tbl>
      <w:tblPr>
        <w:tblStyle w:val="Tabellenraster"/>
        <w:tblW w:w="0" w:type="auto"/>
        <w:tblLook w:val="04A0" w:firstRow="1" w:lastRow="0" w:firstColumn="1" w:lastColumn="0" w:noHBand="0" w:noVBand="1"/>
      </w:tblPr>
      <w:tblGrid>
        <w:gridCol w:w="3434"/>
        <w:gridCol w:w="5628"/>
      </w:tblGrid>
      <w:tr w:rsidR="00BD2280" w:rsidRPr="00E75A3A" w14:paraId="722D502A" w14:textId="77777777" w:rsidTr="00BD2280">
        <w:tc>
          <w:tcPr>
            <w:tcW w:w="3129" w:type="dxa"/>
          </w:tcPr>
          <w:p w14:paraId="4F2A2379" w14:textId="0ABE9C13" w:rsidR="00BD2280" w:rsidRPr="00D13D89" w:rsidRDefault="00B840BA" w:rsidP="00B840BA">
            <w:pPr>
              <w:spacing w:before="120"/>
            </w:pPr>
            <w:r>
              <w:rPr>
                <w:noProof/>
              </w:rPr>
              <w:drawing>
                <wp:inline distT="0" distB="0" distL="0" distR="0" wp14:anchorId="4D763ED2" wp14:editId="704D00A1">
                  <wp:extent cx="2159000" cy="1219200"/>
                  <wp:effectExtent l="0" t="0" r="0" b="0"/>
                  <wp:docPr id="16221189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8901" name="Grafik 1622118901"/>
                          <pic:cNvPicPr/>
                        </pic:nvPicPr>
                        <pic:blipFill>
                          <a:blip r:embed="rId13">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933" w:type="dxa"/>
          </w:tcPr>
          <w:p w14:paraId="477BF02A" w14:textId="77777777" w:rsidR="00B840BA" w:rsidRDefault="00B840BA" w:rsidP="00B840BA">
            <w:pPr>
              <w:pStyle w:val="StandardWeb"/>
              <w:spacing w:before="0" w:beforeAutospacing="0" w:after="0" w:afterAutospacing="0" w:line="283" w:lineRule="auto"/>
              <w:rPr>
                <w:rFonts w:asciiTheme="minorHAnsi" w:hAnsiTheme="minorHAnsi"/>
                <w:sz w:val="20"/>
                <w:szCs w:val="20"/>
              </w:rPr>
            </w:pPr>
            <w:r w:rsidRPr="00B840BA">
              <w:rPr>
                <w:rFonts w:asciiTheme="minorHAnsi" w:hAnsiTheme="minorHAnsi"/>
                <w:sz w:val="20"/>
                <w:szCs w:val="20"/>
              </w:rPr>
              <w:t xml:space="preserve">Vom Ursprung in den Alltag: RGB </w:t>
            </w:r>
            <w:proofErr w:type="spellStart"/>
            <w:r w:rsidRPr="00B840BA">
              <w:rPr>
                <w:rFonts w:asciiTheme="minorHAnsi" w:hAnsiTheme="minorHAnsi"/>
                <w:sz w:val="20"/>
                <w:szCs w:val="20"/>
              </w:rPr>
              <w:t>MiniLED</w:t>
            </w:r>
            <w:proofErr w:type="spellEnd"/>
            <w:r w:rsidRPr="00B840BA">
              <w:rPr>
                <w:rFonts w:asciiTheme="minorHAnsi" w:hAnsiTheme="minorHAnsi"/>
                <w:sz w:val="20"/>
                <w:szCs w:val="20"/>
              </w:rPr>
              <w:t xml:space="preserve"> in Wohnzimmergrößen</w:t>
            </w:r>
          </w:p>
          <w:p w14:paraId="5FD96D64" w14:textId="77777777" w:rsidR="00B840BA" w:rsidRDefault="00B840BA" w:rsidP="00B840BA">
            <w:pPr>
              <w:pStyle w:val="StandardWeb"/>
              <w:spacing w:before="0" w:beforeAutospacing="0" w:after="0" w:afterAutospacing="0" w:line="283" w:lineRule="auto"/>
              <w:rPr>
                <w:rFonts w:asciiTheme="minorHAnsi" w:hAnsiTheme="minorHAnsi"/>
                <w:sz w:val="20"/>
                <w:szCs w:val="20"/>
              </w:rPr>
            </w:pPr>
          </w:p>
          <w:p w14:paraId="00E27B25" w14:textId="77777777" w:rsidR="00B840BA" w:rsidRPr="00B840BA" w:rsidRDefault="00B840BA" w:rsidP="00B840BA">
            <w:pPr>
              <w:spacing w:before="120"/>
              <w:jc w:val="both"/>
              <w:rPr>
                <w:sz w:val="20"/>
                <w:szCs w:val="20"/>
              </w:rPr>
            </w:pPr>
            <w:r w:rsidRPr="00B840BA">
              <w:rPr>
                <w:sz w:val="20"/>
                <w:szCs w:val="20"/>
              </w:rPr>
              <w:t>@Hisense Gorenje Austria</w:t>
            </w:r>
          </w:p>
          <w:p w14:paraId="54274081" w14:textId="77777777" w:rsidR="00B840BA" w:rsidRDefault="00B840BA" w:rsidP="00B840BA">
            <w:pPr>
              <w:pStyle w:val="StandardWeb"/>
              <w:spacing w:before="0" w:beforeAutospacing="0" w:after="0" w:afterAutospacing="0" w:line="283" w:lineRule="auto"/>
              <w:rPr>
                <w:rFonts w:asciiTheme="minorHAnsi" w:hAnsiTheme="minorHAnsi"/>
                <w:sz w:val="20"/>
                <w:szCs w:val="20"/>
              </w:rPr>
            </w:pPr>
          </w:p>
          <w:p w14:paraId="3048F49D" w14:textId="2C9A4DAD" w:rsidR="00B840BA" w:rsidRPr="00B840BA" w:rsidRDefault="00B840BA" w:rsidP="00B840BA">
            <w:pPr>
              <w:pStyle w:val="StandardWeb"/>
              <w:spacing w:before="0" w:beforeAutospacing="0" w:after="0" w:afterAutospacing="0" w:line="283" w:lineRule="auto"/>
              <w:rPr>
                <w:rFonts w:asciiTheme="minorHAnsi" w:hAnsiTheme="minorHAnsi"/>
                <w:sz w:val="20"/>
                <w:szCs w:val="20"/>
              </w:rPr>
            </w:pPr>
            <w:r w:rsidRPr="00B840BA">
              <w:rPr>
                <w:rFonts w:asciiTheme="minorHAnsi" w:hAnsiTheme="minorHAnsi"/>
                <w:sz w:val="20"/>
                <w:szCs w:val="20"/>
              </w:rPr>
              <w:t>https://filestation.bluforce.at:5001/sharing/BIi0qTjtu</w:t>
            </w:r>
          </w:p>
          <w:p w14:paraId="1E9FC3F5" w14:textId="7232F27D" w:rsidR="00921E58" w:rsidRPr="00D13D89" w:rsidRDefault="00921E58" w:rsidP="00B840BA">
            <w:pPr>
              <w:spacing w:before="120"/>
            </w:pPr>
          </w:p>
        </w:tc>
      </w:tr>
      <w:tr w:rsidR="00BD2280" w:rsidRPr="00E75A3A" w14:paraId="288EFA5C" w14:textId="77777777" w:rsidTr="00BD2280">
        <w:tc>
          <w:tcPr>
            <w:tcW w:w="3129" w:type="dxa"/>
          </w:tcPr>
          <w:p w14:paraId="0C23FB15" w14:textId="6ADEB0D2" w:rsidR="00BD2280" w:rsidRPr="00D13D89" w:rsidRDefault="00B840BA" w:rsidP="00B840BA">
            <w:pPr>
              <w:spacing w:before="120"/>
            </w:pPr>
            <w:r>
              <w:rPr>
                <w:noProof/>
              </w:rPr>
              <w:drawing>
                <wp:inline distT="0" distB="0" distL="0" distR="0" wp14:anchorId="7C325D40" wp14:editId="5F507226">
                  <wp:extent cx="2159000" cy="1219200"/>
                  <wp:effectExtent l="0" t="0" r="0" b="0"/>
                  <wp:docPr id="19329197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19723" name="Grafik 1932919723"/>
                          <pic:cNvPicPr/>
                        </pic:nvPicPr>
                        <pic:blipFill>
                          <a:blip r:embed="rId14">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933" w:type="dxa"/>
          </w:tcPr>
          <w:p w14:paraId="6C705239" w14:textId="77777777" w:rsidR="00B840BA" w:rsidRDefault="00B840BA" w:rsidP="00B840BA">
            <w:pPr>
              <w:pStyle w:val="StandardWeb"/>
              <w:spacing w:before="120" w:beforeAutospacing="0" w:after="0" w:afterAutospacing="0"/>
              <w:rPr>
                <w:rFonts w:asciiTheme="minorHAnsi" w:hAnsiTheme="minorHAnsi"/>
                <w:sz w:val="20"/>
                <w:szCs w:val="20"/>
              </w:rPr>
            </w:pPr>
            <w:r w:rsidRPr="00B840BA">
              <w:rPr>
                <w:rFonts w:asciiTheme="minorHAnsi" w:hAnsiTheme="minorHAnsi"/>
                <w:sz w:val="20"/>
                <w:szCs w:val="20"/>
              </w:rPr>
              <w:t xml:space="preserve">„Als weltweiter Marktführer bei TVs ab 100 Zoll setzen wir seit Jahren Maßstäbe für das große Heimkinoerlebnis. Jetzt bringen wir dieses Erlebnis rechtzeitig zum weltweit größten Fußballfest der Welt in alle Wohnzimmer – mit der gleichen Bildqualität, die bisher den Großformaten vorbehalten war.  Damit machen wir unsere Technologie für deutlich mehr Haushalte zugänglich – ohne Kompromisse bei Performance, Farbpräzision oder Sehkomfort“, freut sich Andreas </w:t>
            </w:r>
            <w:proofErr w:type="spellStart"/>
            <w:r w:rsidRPr="00B840BA">
              <w:rPr>
                <w:rFonts w:asciiTheme="minorHAnsi" w:hAnsiTheme="minorHAnsi"/>
                <w:sz w:val="20"/>
                <w:szCs w:val="20"/>
              </w:rPr>
              <w:t>Kuzmits</w:t>
            </w:r>
            <w:proofErr w:type="spellEnd"/>
            <w:r w:rsidRPr="00B840BA">
              <w:rPr>
                <w:rFonts w:asciiTheme="minorHAnsi" w:hAnsiTheme="minorHAnsi"/>
                <w:sz w:val="20"/>
                <w:szCs w:val="20"/>
              </w:rPr>
              <w:t xml:space="preserve">, Geschäftsführer von Hisense Gorenje Austria über die auch für den Handel so wichtige Ausweitung auf nachfragestarke Formate. </w:t>
            </w:r>
          </w:p>
          <w:p w14:paraId="1BB1FF59" w14:textId="5E2CC9C2" w:rsidR="00B840BA" w:rsidRPr="00B840BA" w:rsidRDefault="00B840BA" w:rsidP="00B840BA">
            <w:pPr>
              <w:pStyle w:val="StandardWeb"/>
              <w:spacing w:before="120" w:beforeAutospacing="0" w:after="0" w:afterAutospacing="0"/>
              <w:rPr>
                <w:rFonts w:asciiTheme="minorHAnsi" w:hAnsiTheme="minorHAnsi"/>
                <w:sz w:val="20"/>
                <w:szCs w:val="20"/>
              </w:rPr>
            </w:pPr>
            <w:r w:rsidRPr="00B840BA">
              <w:rPr>
                <w:rFonts w:asciiTheme="minorHAnsi" w:hAnsiTheme="minorHAnsi"/>
                <w:sz w:val="20"/>
                <w:szCs w:val="20"/>
              </w:rPr>
              <w:t>https://filestation.bluforce.at:5001/sharing/kAkt1Fld1</w:t>
            </w:r>
          </w:p>
          <w:p w14:paraId="2C0F57E8" w14:textId="77777777" w:rsidR="00B840BA" w:rsidRPr="00B840BA" w:rsidRDefault="00B840BA" w:rsidP="00B840BA">
            <w:pPr>
              <w:spacing w:before="120"/>
              <w:jc w:val="both"/>
              <w:rPr>
                <w:sz w:val="20"/>
                <w:szCs w:val="20"/>
              </w:rPr>
            </w:pPr>
            <w:r w:rsidRPr="00B840BA">
              <w:rPr>
                <w:sz w:val="20"/>
                <w:szCs w:val="20"/>
              </w:rPr>
              <w:t>@Hisense Gorenje Austria</w:t>
            </w:r>
          </w:p>
          <w:p w14:paraId="5B640E8C" w14:textId="278D9880" w:rsidR="00B1150D" w:rsidRPr="00D13D89" w:rsidRDefault="00B1150D" w:rsidP="00B840BA">
            <w:pPr>
              <w:spacing w:before="120"/>
              <w:jc w:val="both"/>
            </w:pPr>
          </w:p>
        </w:tc>
      </w:tr>
      <w:tr w:rsidR="00735AC0" w:rsidRPr="00E75A3A" w14:paraId="1FC74971" w14:textId="77777777" w:rsidTr="00BD2280">
        <w:tc>
          <w:tcPr>
            <w:tcW w:w="3129" w:type="dxa"/>
          </w:tcPr>
          <w:p w14:paraId="4150E9C3" w14:textId="557C6426" w:rsidR="00473C8E" w:rsidRPr="00D13D89" w:rsidRDefault="00B840BA" w:rsidP="00B840BA">
            <w:pPr>
              <w:spacing w:before="120"/>
            </w:pPr>
            <w:r>
              <w:rPr>
                <w:noProof/>
              </w:rPr>
              <w:lastRenderedPageBreak/>
              <w:drawing>
                <wp:inline distT="0" distB="0" distL="0" distR="0" wp14:anchorId="201AEDA8" wp14:editId="0B9AEB99">
                  <wp:extent cx="1790700" cy="1790700"/>
                  <wp:effectExtent l="0" t="0" r="0" b="0"/>
                  <wp:docPr id="7911395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3954" name="Grafik 7911395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tc>
        <w:tc>
          <w:tcPr>
            <w:tcW w:w="5933" w:type="dxa"/>
          </w:tcPr>
          <w:p w14:paraId="05566F9E" w14:textId="2F7F6890" w:rsidR="00921E58" w:rsidRPr="00B840BA" w:rsidRDefault="00B840BA" w:rsidP="00B840BA">
            <w:pPr>
              <w:spacing w:before="120"/>
              <w:rPr>
                <w:sz w:val="20"/>
                <w:szCs w:val="20"/>
              </w:rPr>
            </w:pPr>
            <w:r w:rsidRPr="00B840BA">
              <w:rPr>
                <w:sz w:val="20"/>
                <w:szCs w:val="20"/>
              </w:rPr>
              <w:t xml:space="preserve">UR9S, neue RGB </w:t>
            </w:r>
            <w:proofErr w:type="spellStart"/>
            <w:r w:rsidRPr="00B840BA">
              <w:rPr>
                <w:sz w:val="20"/>
                <w:szCs w:val="20"/>
              </w:rPr>
              <w:t>MiniLED</w:t>
            </w:r>
            <w:proofErr w:type="spellEnd"/>
            <w:r w:rsidRPr="00B840BA">
              <w:rPr>
                <w:sz w:val="20"/>
                <w:szCs w:val="20"/>
              </w:rPr>
              <w:t xml:space="preserve"> Serie von Hisense von 65 bis 85 Zoll Bildschirmgrößen</w:t>
            </w:r>
          </w:p>
          <w:p w14:paraId="6004BD2A" w14:textId="77777777" w:rsidR="00B840BA" w:rsidRDefault="00B840BA" w:rsidP="00B840BA">
            <w:pPr>
              <w:spacing w:before="120"/>
              <w:jc w:val="both"/>
              <w:rPr>
                <w:sz w:val="20"/>
                <w:szCs w:val="20"/>
              </w:rPr>
            </w:pPr>
            <w:r w:rsidRPr="00B840BA">
              <w:rPr>
                <w:sz w:val="20"/>
                <w:szCs w:val="20"/>
              </w:rPr>
              <w:t>@Hisense Gorenje Austria</w:t>
            </w:r>
          </w:p>
          <w:p w14:paraId="2B643DEB" w14:textId="208BD7E3" w:rsidR="00B840BA" w:rsidRPr="00B840BA" w:rsidRDefault="00B840BA" w:rsidP="00B840BA">
            <w:pPr>
              <w:spacing w:before="120"/>
              <w:jc w:val="both"/>
              <w:rPr>
                <w:sz w:val="20"/>
                <w:szCs w:val="20"/>
              </w:rPr>
            </w:pPr>
            <w:r w:rsidRPr="00B840BA">
              <w:rPr>
                <w:sz w:val="20"/>
                <w:szCs w:val="20"/>
              </w:rPr>
              <w:t>https://filestation.bluforce.at:5001/sharing/fPnLoFPLX</w:t>
            </w:r>
          </w:p>
          <w:p w14:paraId="0E06390C" w14:textId="2D4949D4" w:rsidR="00B840BA" w:rsidRPr="00B840BA" w:rsidRDefault="00B840BA" w:rsidP="00B840BA">
            <w:pPr>
              <w:spacing w:before="120"/>
              <w:rPr>
                <w:sz w:val="20"/>
                <w:szCs w:val="20"/>
              </w:rPr>
            </w:pPr>
          </w:p>
        </w:tc>
      </w:tr>
      <w:tr w:rsidR="00735AC0" w:rsidRPr="00E75A3A" w14:paraId="416F2EAF" w14:textId="77777777" w:rsidTr="00BD2280">
        <w:tc>
          <w:tcPr>
            <w:tcW w:w="3129" w:type="dxa"/>
          </w:tcPr>
          <w:p w14:paraId="3B5943DA" w14:textId="606FAC47" w:rsidR="00473C8E" w:rsidRPr="00D13D89" w:rsidRDefault="00735AC0" w:rsidP="00B840BA">
            <w:pPr>
              <w:spacing w:before="120"/>
            </w:pPr>
            <w:r>
              <w:rPr>
                <w:rFonts w:eastAsia="Times New Roman" w:cs="Times New Roman"/>
                <w:noProof/>
                <w:kern w:val="0"/>
                <w:lang w:eastAsia="de-DE"/>
              </w:rPr>
              <w:drawing>
                <wp:inline distT="0" distB="0" distL="0" distR="0" wp14:anchorId="3730FEBA" wp14:editId="6DA904BA">
                  <wp:extent cx="1803400" cy="2705100"/>
                  <wp:effectExtent l="0" t="0" r="0" b="0"/>
                  <wp:docPr id="1538606845"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6845" name="Grafik 3" descr="Ein Bild, das Menschliches Gesicht, Person, Kleidung, Lächeln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1803400" cy="2705100"/>
                          </a:xfrm>
                          <a:prstGeom prst="rect">
                            <a:avLst/>
                          </a:prstGeom>
                        </pic:spPr>
                      </pic:pic>
                    </a:graphicData>
                  </a:graphic>
                </wp:inline>
              </w:drawing>
            </w:r>
          </w:p>
        </w:tc>
        <w:tc>
          <w:tcPr>
            <w:tcW w:w="5933" w:type="dxa"/>
          </w:tcPr>
          <w:p w14:paraId="5EB96FD7" w14:textId="77777777" w:rsidR="00735AC0" w:rsidRDefault="00735AC0" w:rsidP="00B840BA">
            <w:pPr>
              <w:spacing w:before="120"/>
              <w:rPr>
                <w:rFonts w:eastAsia="Times New Roman" w:cs="Times New Roman"/>
                <w:kern w:val="0"/>
                <w:lang w:eastAsia="de-DE"/>
                <w14:ligatures w14:val="none"/>
              </w:rPr>
            </w:pPr>
          </w:p>
          <w:p w14:paraId="1C530C44" w14:textId="77777777" w:rsidR="00B840BA" w:rsidRPr="00B840BA" w:rsidRDefault="00B840BA" w:rsidP="00B840BA">
            <w:pPr>
              <w:pStyle w:val="StandardWeb"/>
              <w:spacing w:before="120" w:beforeAutospacing="0" w:after="0" w:afterAutospacing="0"/>
              <w:rPr>
                <w:rFonts w:asciiTheme="minorHAnsi" w:hAnsiTheme="minorHAnsi"/>
                <w:sz w:val="20"/>
                <w:szCs w:val="20"/>
              </w:rPr>
            </w:pPr>
            <w:r w:rsidRPr="00B840BA">
              <w:rPr>
                <w:rFonts w:asciiTheme="minorHAnsi" w:hAnsiTheme="minorHAnsi"/>
                <w:sz w:val="20"/>
                <w:szCs w:val="20"/>
              </w:rPr>
              <w:t xml:space="preserve">„Als weltweiter Marktführer bei TVs ab 100 Zoll setzen wir seit Jahren Maßstäbe für das große Heimkinoerlebnis. Jetzt bringen wir dieses Erlebnis rechtzeitig zum weltweit größten Fußballfest der Welt in alle Wohnzimmer – mit der gleichen Bildqualität, die bisher den Großformaten vorbehalten war.  Damit machen wir unsere Technologie für deutlich mehr Haushalte zugänglich – ohne Kompromisse bei Performance, Farbpräzision oder Sehkomfort“, freut sich Andreas </w:t>
            </w:r>
            <w:proofErr w:type="spellStart"/>
            <w:r w:rsidRPr="00B840BA">
              <w:rPr>
                <w:rFonts w:asciiTheme="minorHAnsi" w:hAnsiTheme="minorHAnsi"/>
                <w:sz w:val="20"/>
                <w:szCs w:val="20"/>
              </w:rPr>
              <w:t>Kuzmits</w:t>
            </w:r>
            <w:proofErr w:type="spellEnd"/>
            <w:r w:rsidRPr="00B840BA">
              <w:rPr>
                <w:rFonts w:asciiTheme="minorHAnsi" w:hAnsiTheme="minorHAnsi"/>
                <w:sz w:val="20"/>
                <w:szCs w:val="20"/>
              </w:rPr>
              <w:t xml:space="preserve">, Geschäftsführer von Hisense Gorenje Austria über die auch für den Handel so wichtige Ausweitung auf nachfragestarke Formate. </w:t>
            </w:r>
          </w:p>
          <w:p w14:paraId="44198B31" w14:textId="77777777" w:rsidR="00735AC0" w:rsidRPr="00B840BA" w:rsidRDefault="00735AC0" w:rsidP="00B840BA">
            <w:pPr>
              <w:spacing w:before="120"/>
              <w:jc w:val="both"/>
              <w:rPr>
                <w:sz w:val="20"/>
                <w:szCs w:val="20"/>
              </w:rPr>
            </w:pPr>
            <w:r w:rsidRPr="00B840BA">
              <w:rPr>
                <w:sz w:val="20"/>
                <w:szCs w:val="20"/>
              </w:rPr>
              <w:t>@Hisense Gorenje Austria</w:t>
            </w:r>
          </w:p>
          <w:p w14:paraId="1DA6FB12" w14:textId="0D4D6AF7" w:rsidR="002B7526" w:rsidRPr="00735AC0" w:rsidRDefault="002B7526" w:rsidP="00B840BA">
            <w:pPr>
              <w:spacing w:before="120"/>
              <w:jc w:val="both"/>
            </w:pPr>
            <w:r w:rsidRPr="002B7526">
              <w:t>https://filestation.bluforce.at:5001/sharing/7Cv7kQqP1</w:t>
            </w:r>
          </w:p>
          <w:p w14:paraId="53AD7BB2" w14:textId="10DC69EF" w:rsidR="00735AC0" w:rsidRPr="00D13D89" w:rsidRDefault="00735AC0" w:rsidP="00B840BA">
            <w:pPr>
              <w:spacing w:before="120"/>
            </w:pPr>
          </w:p>
        </w:tc>
      </w:tr>
    </w:tbl>
    <w:p w14:paraId="6C1E74C0" w14:textId="34027AA6" w:rsidR="003654D6" w:rsidRPr="00E21426" w:rsidRDefault="003654D6" w:rsidP="005544E2">
      <w:pPr>
        <w:spacing w:after="0" w:line="283" w:lineRule="auto"/>
        <w:rPr>
          <w:rFonts w:cs="Arial"/>
          <w:color w:val="000000" w:themeColor="text1"/>
          <w:sz w:val="22"/>
          <w:szCs w:val="22"/>
          <w:lang w:val="fr-FR"/>
        </w:rPr>
      </w:pPr>
    </w:p>
    <w:p w14:paraId="2012C4F6" w14:textId="77777777" w:rsidR="00B20F0C" w:rsidRPr="00E21426" w:rsidRDefault="00B20F0C" w:rsidP="005544E2">
      <w:pPr>
        <w:spacing w:after="0" w:line="283" w:lineRule="auto"/>
        <w:rPr>
          <w:lang w:val="fr-FR"/>
        </w:rPr>
      </w:pPr>
    </w:p>
    <w:p w14:paraId="0EBB940C" w14:textId="77777777" w:rsidR="00AF6267" w:rsidRPr="00E21426" w:rsidRDefault="00AF6267" w:rsidP="005544E2">
      <w:pPr>
        <w:spacing w:after="0" w:line="283" w:lineRule="auto"/>
        <w:rPr>
          <w:rFonts w:cs="Arial"/>
          <w:b/>
          <w:bCs/>
          <w:color w:val="000000" w:themeColor="text1"/>
          <w:sz w:val="22"/>
          <w:szCs w:val="22"/>
        </w:rPr>
      </w:pPr>
      <w:r w:rsidRPr="00E21426">
        <w:rPr>
          <w:rFonts w:cs="Arial"/>
          <w:b/>
          <w:bCs/>
          <w:color w:val="000000" w:themeColor="text1"/>
          <w:sz w:val="22"/>
          <w:szCs w:val="22"/>
        </w:rPr>
        <w:t>Kontakt:</w:t>
      </w:r>
    </w:p>
    <w:p w14:paraId="4D2B42DC" w14:textId="77777777" w:rsidR="00AF6267" w:rsidRPr="00576A5E" w:rsidRDefault="00AF6267" w:rsidP="005544E2">
      <w:pPr>
        <w:spacing w:after="0" w:line="283" w:lineRule="auto"/>
        <w:rPr>
          <w:rStyle w:val="Hyperlink"/>
          <w:rFonts w:cs="Arial"/>
          <w:color w:val="000000" w:themeColor="text1"/>
          <w:sz w:val="22"/>
          <w:szCs w:val="22"/>
          <w:u w:val="none"/>
          <w:lang w:val="fr-FR"/>
        </w:rPr>
      </w:pPr>
      <w:r w:rsidRPr="00576A5E">
        <w:rPr>
          <w:rFonts w:cs="Arial"/>
          <w:color w:val="000000" w:themeColor="text1"/>
          <w:sz w:val="22"/>
          <w:szCs w:val="22"/>
          <w:lang w:val="fr-FR"/>
        </w:rPr>
        <w:t xml:space="preserve">Nicole </w:t>
      </w:r>
      <w:proofErr w:type="spellStart"/>
      <w:r w:rsidRPr="00576A5E">
        <w:rPr>
          <w:rFonts w:cs="Arial"/>
          <w:color w:val="000000" w:themeColor="text1"/>
          <w:sz w:val="22"/>
          <w:szCs w:val="22"/>
          <w:lang w:val="fr-FR"/>
        </w:rPr>
        <w:t>Madaras</w:t>
      </w:r>
      <w:proofErr w:type="spellEnd"/>
      <w:r w:rsidRPr="00576A5E">
        <w:rPr>
          <w:rFonts w:cs="Arial"/>
          <w:color w:val="000000" w:themeColor="text1"/>
          <w:sz w:val="22"/>
          <w:szCs w:val="22"/>
          <w:lang w:val="fr-FR"/>
        </w:rPr>
        <w:br/>
      </w:r>
      <w:proofErr w:type="spellStart"/>
      <w:r w:rsidRPr="00576A5E">
        <w:rPr>
          <w:rFonts w:cs="Arial"/>
          <w:color w:val="000000" w:themeColor="text1"/>
          <w:sz w:val="22"/>
          <w:szCs w:val="22"/>
          <w:lang w:val="fr-FR"/>
        </w:rPr>
        <w:t>Hisense</w:t>
      </w:r>
      <w:proofErr w:type="spellEnd"/>
      <w:r w:rsidRPr="00576A5E">
        <w:rPr>
          <w:rFonts w:cs="Arial"/>
          <w:color w:val="000000" w:themeColor="text1"/>
          <w:sz w:val="22"/>
          <w:szCs w:val="22"/>
          <w:lang w:val="fr-FR"/>
        </w:rPr>
        <w:t xml:space="preserve"> </w:t>
      </w:r>
      <w:proofErr w:type="spellStart"/>
      <w:r w:rsidRPr="00576A5E">
        <w:rPr>
          <w:rFonts w:cs="Arial"/>
          <w:color w:val="000000" w:themeColor="text1"/>
          <w:sz w:val="22"/>
          <w:szCs w:val="22"/>
          <w:lang w:val="fr-FR"/>
        </w:rPr>
        <w:t>Gorenje</w:t>
      </w:r>
      <w:proofErr w:type="spellEnd"/>
      <w:r w:rsidRPr="00576A5E">
        <w:rPr>
          <w:rFonts w:cs="Arial"/>
          <w:color w:val="000000" w:themeColor="text1"/>
          <w:sz w:val="22"/>
          <w:szCs w:val="22"/>
          <w:lang w:val="fr-FR"/>
        </w:rPr>
        <w:t xml:space="preserve"> </w:t>
      </w:r>
      <w:proofErr w:type="spellStart"/>
      <w:r w:rsidRPr="00576A5E">
        <w:rPr>
          <w:rFonts w:cs="Arial"/>
          <w:color w:val="000000" w:themeColor="text1"/>
          <w:sz w:val="22"/>
          <w:szCs w:val="22"/>
          <w:lang w:val="fr-FR"/>
        </w:rPr>
        <w:t>Austria</w:t>
      </w:r>
      <w:proofErr w:type="spellEnd"/>
      <w:r w:rsidRPr="00576A5E">
        <w:rPr>
          <w:rFonts w:cs="Arial"/>
          <w:color w:val="000000" w:themeColor="text1"/>
          <w:sz w:val="22"/>
          <w:szCs w:val="22"/>
          <w:lang w:val="fr-FR"/>
        </w:rPr>
        <w:t xml:space="preserve"> </w:t>
      </w:r>
      <w:proofErr w:type="spellStart"/>
      <w:r w:rsidRPr="00576A5E">
        <w:rPr>
          <w:rFonts w:cs="Arial"/>
          <w:color w:val="000000" w:themeColor="text1"/>
          <w:sz w:val="22"/>
          <w:szCs w:val="22"/>
          <w:lang w:val="fr-FR"/>
        </w:rPr>
        <w:t>GmbH</w:t>
      </w:r>
      <w:proofErr w:type="spellEnd"/>
      <w:r w:rsidRPr="00576A5E">
        <w:rPr>
          <w:rFonts w:cs="Arial"/>
          <w:color w:val="000000" w:themeColor="text1"/>
          <w:sz w:val="22"/>
          <w:szCs w:val="22"/>
          <w:lang w:val="fr-FR"/>
        </w:rPr>
        <w:br/>
      </w:r>
      <w:proofErr w:type="gramStart"/>
      <w:r w:rsidRPr="00576A5E">
        <w:rPr>
          <w:rFonts w:cs="Arial"/>
          <w:color w:val="000000" w:themeColor="text1"/>
          <w:sz w:val="22"/>
          <w:szCs w:val="22"/>
          <w:lang w:val="fr-FR"/>
        </w:rPr>
        <w:t>T:</w:t>
      </w:r>
      <w:proofErr w:type="gramEnd"/>
      <w:r w:rsidRPr="00576A5E">
        <w:rPr>
          <w:rFonts w:cs="Arial"/>
          <w:color w:val="000000" w:themeColor="text1"/>
          <w:sz w:val="22"/>
          <w:szCs w:val="22"/>
          <w:lang w:val="fr-FR"/>
        </w:rPr>
        <w:t xml:space="preserve"> +43 660 9293866</w:t>
      </w:r>
      <w:r w:rsidRPr="00576A5E">
        <w:rPr>
          <w:rFonts w:cs="Arial"/>
          <w:color w:val="000000" w:themeColor="text1"/>
          <w:sz w:val="22"/>
          <w:szCs w:val="22"/>
          <w:lang w:val="fr-FR"/>
        </w:rPr>
        <w:br/>
      </w:r>
      <w:hyperlink r:id="rId17" w:history="1">
        <w:r w:rsidRPr="00576A5E">
          <w:rPr>
            <w:rStyle w:val="Hyperlink"/>
            <w:rFonts w:cs="Arial"/>
            <w:color w:val="000000" w:themeColor="text1"/>
            <w:sz w:val="22"/>
            <w:szCs w:val="22"/>
            <w:u w:val="none"/>
            <w:lang w:val="fr-FR"/>
          </w:rPr>
          <w:t>nicole.madaras@gorenje.com</w:t>
        </w:r>
      </w:hyperlink>
    </w:p>
    <w:p w14:paraId="0FB0DC19" w14:textId="77777777" w:rsidR="00AF6267" w:rsidRPr="00576A5E" w:rsidRDefault="00AF6267" w:rsidP="005544E2">
      <w:pPr>
        <w:spacing w:after="0" w:line="283" w:lineRule="auto"/>
        <w:rPr>
          <w:rStyle w:val="Hyperlink"/>
          <w:rFonts w:cs="Arial"/>
          <w:color w:val="000000" w:themeColor="text1"/>
          <w:sz w:val="22"/>
          <w:szCs w:val="22"/>
          <w:lang w:val="fr-FR"/>
        </w:rPr>
      </w:pPr>
    </w:p>
    <w:p w14:paraId="0EF86D52" w14:textId="77777777" w:rsidR="00AF6267" w:rsidRPr="00E21426" w:rsidRDefault="00AF6267" w:rsidP="005544E2">
      <w:pPr>
        <w:spacing w:after="0" w:line="283" w:lineRule="auto"/>
        <w:rPr>
          <w:rStyle w:val="Hyperlink"/>
          <w:rFonts w:cs="Arial"/>
          <w:color w:val="000000" w:themeColor="text1"/>
          <w:sz w:val="22"/>
          <w:szCs w:val="22"/>
          <w:u w:val="none"/>
        </w:rPr>
      </w:pPr>
      <w:r w:rsidRPr="00E21426">
        <w:rPr>
          <w:rStyle w:val="Hyperlink"/>
          <w:rFonts w:cs="Arial"/>
          <w:color w:val="000000" w:themeColor="text1"/>
          <w:sz w:val="22"/>
          <w:szCs w:val="22"/>
          <w:u w:val="none"/>
        </w:rPr>
        <w:t xml:space="preserve">Ursula Wirth </w:t>
      </w:r>
    </w:p>
    <w:p w14:paraId="6B86AC24" w14:textId="77777777" w:rsidR="00AF6267" w:rsidRPr="00E21426" w:rsidRDefault="00AF6267" w:rsidP="005544E2">
      <w:pPr>
        <w:spacing w:after="0" w:line="283" w:lineRule="auto"/>
        <w:rPr>
          <w:rStyle w:val="Hyperlink"/>
          <w:rFonts w:cs="Arial"/>
          <w:color w:val="000000" w:themeColor="text1"/>
          <w:sz w:val="22"/>
          <w:szCs w:val="22"/>
        </w:rPr>
      </w:pPr>
      <w:proofErr w:type="spellStart"/>
      <w:r w:rsidRPr="00E21426">
        <w:rPr>
          <w:rStyle w:val="Hyperlink"/>
          <w:rFonts w:cs="Arial"/>
          <w:color w:val="000000" w:themeColor="text1"/>
          <w:sz w:val="22"/>
          <w:szCs w:val="22"/>
        </w:rPr>
        <w:t>bluforce</w:t>
      </w:r>
      <w:proofErr w:type="spellEnd"/>
      <w:r w:rsidRPr="00E21426">
        <w:rPr>
          <w:rStyle w:val="Hyperlink"/>
          <w:rFonts w:cs="Arial"/>
          <w:color w:val="000000" w:themeColor="text1"/>
          <w:sz w:val="22"/>
          <w:szCs w:val="22"/>
        </w:rPr>
        <w:t xml:space="preserve"> </w:t>
      </w:r>
      <w:proofErr w:type="spellStart"/>
      <w:r w:rsidRPr="00E21426">
        <w:rPr>
          <w:rStyle w:val="Hyperlink"/>
          <w:rFonts w:cs="Arial"/>
          <w:color w:val="000000" w:themeColor="text1"/>
          <w:sz w:val="22"/>
          <w:szCs w:val="22"/>
        </w:rPr>
        <w:t>Markkomm</w:t>
      </w:r>
      <w:proofErr w:type="spellEnd"/>
    </w:p>
    <w:p w14:paraId="2886DA9D" w14:textId="77777777" w:rsidR="00AF6267" w:rsidRPr="00E21426" w:rsidRDefault="00AF6267" w:rsidP="005544E2">
      <w:pPr>
        <w:spacing w:after="0" w:line="283" w:lineRule="auto"/>
        <w:rPr>
          <w:rStyle w:val="Hyperlink"/>
          <w:rFonts w:cs="Arial"/>
          <w:color w:val="000000" w:themeColor="text1"/>
          <w:sz w:val="22"/>
          <w:szCs w:val="22"/>
          <w:u w:val="none"/>
        </w:rPr>
      </w:pPr>
      <w:r w:rsidRPr="00E21426">
        <w:rPr>
          <w:rStyle w:val="Hyperlink"/>
          <w:rFonts w:cs="Arial"/>
          <w:color w:val="000000" w:themeColor="text1"/>
          <w:sz w:val="22"/>
          <w:szCs w:val="22"/>
          <w:u w:val="none"/>
        </w:rPr>
        <w:t>T: +43676 83786212</w:t>
      </w:r>
    </w:p>
    <w:p w14:paraId="587D8456" w14:textId="77777777" w:rsidR="00AF6267" w:rsidRPr="00E21426" w:rsidRDefault="00AF6267" w:rsidP="005544E2">
      <w:pPr>
        <w:spacing w:after="0" w:line="283" w:lineRule="auto"/>
        <w:rPr>
          <w:rFonts w:cs="Arial"/>
          <w:color w:val="000000" w:themeColor="text1"/>
          <w:sz w:val="22"/>
          <w:szCs w:val="22"/>
        </w:rPr>
      </w:pPr>
      <w:r w:rsidRPr="00E21426">
        <w:rPr>
          <w:rStyle w:val="Hyperlink"/>
          <w:rFonts w:cs="Arial"/>
          <w:color w:val="000000" w:themeColor="text1"/>
          <w:sz w:val="22"/>
          <w:szCs w:val="22"/>
          <w:u w:val="none"/>
        </w:rPr>
        <w:t>u.wirth@bluforce.at</w:t>
      </w:r>
    </w:p>
    <w:p w14:paraId="40657162" w14:textId="77777777" w:rsidR="00AF6267" w:rsidRPr="00E21426" w:rsidRDefault="00AF6267" w:rsidP="005544E2">
      <w:pPr>
        <w:spacing w:after="0" w:line="283" w:lineRule="auto"/>
        <w:rPr>
          <w:color w:val="000000" w:themeColor="text1"/>
        </w:rPr>
      </w:pPr>
    </w:p>
    <w:p w14:paraId="2C0FF1B5" w14:textId="77777777" w:rsidR="003654D6" w:rsidRPr="00E21426" w:rsidRDefault="003654D6" w:rsidP="005544E2">
      <w:pPr>
        <w:spacing w:after="0" w:line="283" w:lineRule="auto"/>
        <w:rPr>
          <w:color w:val="000000" w:themeColor="text1"/>
        </w:rPr>
      </w:pPr>
    </w:p>
    <w:p w14:paraId="1AA5ACD4" w14:textId="77777777" w:rsidR="00B47C1E" w:rsidRPr="00E21426" w:rsidRDefault="00B47C1E" w:rsidP="005544E2">
      <w:pPr>
        <w:spacing w:after="0" w:line="283" w:lineRule="auto"/>
        <w:rPr>
          <w:color w:val="000000" w:themeColor="text1"/>
        </w:rPr>
      </w:pPr>
    </w:p>
    <w:sectPr w:rsidR="00B47C1E" w:rsidRPr="00E214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4A58" w14:textId="77777777" w:rsidR="00492A51" w:rsidRDefault="00492A51" w:rsidP="00AE51FC">
      <w:pPr>
        <w:spacing w:after="0" w:line="240" w:lineRule="auto"/>
      </w:pPr>
      <w:r>
        <w:separator/>
      </w:r>
    </w:p>
  </w:endnote>
  <w:endnote w:type="continuationSeparator" w:id="0">
    <w:p w14:paraId="480DF7BD" w14:textId="77777777" w:rsidR="00492A51" w:rsidRDefault="00492A51" w:rsidP="00AE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14DF" w14:textId="77777777" w:rsidR="00492A51" w:rsidRDefault="00492A51" w:rsidP="00AE51FC">
      <w:pPr>
        <w:spacing w:after="0" w:line="240" w:lineRule="auto"/>
      </w:pPr>
      <w:r>
        <w:separator/>
      </w:r>
    </w:p>
  </w:footnote>
  <w:footnote w:type="continuationSeparator" w:id="0">
    <w:p w14:paraId="607694EB" w14:textId="77777777" w:rsidR="00492A51" w:rsidRDefault="00492A51" w:rsidP="00AE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853"/>
    <w:multiLevelType w:val="hybridMultilevel"/>
    <w:tmpl w:val="42704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B47E3B"/>
    <w:multiLevelType w:val="multilevel"/>
    <w:tmpl w:val="0554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1217F"/>
    <w:multiLevelType w:val="multilevel"/>
    <w:tmpl w:val="69B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647F"/>
    <w:multiLevelType w:val="multilevel"/>
    <w:tmpl w:val="379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71084"/>
    <w:multiLevelType w:val="multilevel"/>
    <w:tmpl w:val="AD9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41544"/>
    <w:multiLevelType w:val="multilevel"/>
    <w:tmpl w:val="E71A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D573A"/>
    <w:multiLevelType w:val="multilevel"/>
    <w:tmpl w:val="1D2C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45226"/>
    <w:multiLevelType w:val="multilevel"/>
    <w:tmpl w:val="85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456D4"/>
    <w:multiLevelType w:val="multilevel"/>
    <w:tmpl w:val="A75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2565C"/>
    <w:multiLevelType w:val="multilevel"/>
    <w:tmpl w:val="85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D24A6"/>
    <w:multiLevelType w:val="hybridMultilevel"/>
    <w:tmpl w:val="7AAC93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9A2604B"/>
    <w:multiLevelType w:val="multilevel"/>
    <w:tmpl w:val="CC3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D0BB0"/>
    <w:multiLevelType w:val="multilevel"/>
    <w:tmpl w:val="2D3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6377D"/>
    <w:multiLevelType w:val="multilevel"/>
    <w:tmpl w:val="DE6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18840">
    <w:abstractNumId w:val="2"/>
  </w:num>
  <w:num w:numId="2" w16cid:durableId="101264867">
    <w:abstractNumId w:val="4"/>
  </w:num>
  <w:num w:numId="3" w16cid:durableId="1809202211">
    <w:abstractNumId w:val="0"/>
  </w:num>
  <w:num w:numId="4" w16cid:durableId="506870569">
    <w:abstractNumId w:val="3"/>
  </w:num>
  <w:num w:numId="5" w16cid:durableId="478110499">
    <w:abstractNumId w:val="5"/>
  </w:num>
  <w:num w:numId="6" w16cid:durableId="995689210">
    <w:abstractNumId w:val="7"/>
  </w:num>
  <w:num w:numId="7" w16cid:durableId="548306095">
    <w:abstractNumId w:val="11"/>
  </w:num>
  <w:num w:numId="8" w16cid:durableId="2034111120">
    <w:abstractNumId w:val="10"/>
  </w:num>
  <w:num w:numId="9" w16cid:durableId="1199733423">
    <w:abstractNumId w:val="9"/>
  </w:num>
  <w:num w:numId="10" w16cid:durableId="899367477">
    <w:abstractNumId w:val="1"/>
  </w:num>
  <w:num w:numId="11" w16cid:durableId="1803228517">
    <w:abstractNumId w:val="6"/>
  </w:num>
  <w:num w:numId="12" w16cid:durableId="93524278">
    <w:abstractNumId w:val="8"/>
  </w:num>
  <w:num w:numId="13" w16cid:durableId="1082989860">
    <w:abstractNumId w:val="13"/>
  </w:num>
  <w:num w:numId="14" w16cid:durableId="759985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FF"/>
    <w:rsid w:val="00003FFF"/>
    <w:rsid w:val="0000708C"/>
    <w:rsid w:val="00011474"/>
    <w:rsid w:val="000311F9"/>
    <w:rsid w:val="0006029C"/>
    <w:rsid w:val="00065041"/>
    <w:rsid w:val="00067454"/>
    <w:rsid w:val="000771E7"/>
    <w:rsid w:val="000B35A6"/>
    <w:rsid w:val="000B3646"/>
    <w:rsid w:val="001071E9"/>
    <w:rsid w:val="00110E79"/>
    <w:rsid w:val="001113C1"/>
    <w:rsid w:val="001313F5"/>
    <w:rsid w:val="00133B78"/>
    <w:rsid w:val="0017341B"/>
    <w:rsid w:val="00195C98"/>
    <w:rsid w:val="001B4CBF"/>
    <w:rsid w:val="001C19AD"/>
    <w:rsid w:val="001C43D0"/>
    <w:rsid w:val="001E2295"/>
    <w:rsid w:val="002009BC"/>
    <w:rsid w:val="00203616"/>
    <w:rsid w:val="00206E58"/>
    <w:rsid w:val="00211A09"/>
    <w:rsid w:val="00212443"/>
    <w:rsid w:val="0023285B"/>
    <w:rsid w:val="0024291F"/>
    <w:rsid w:val="00263A3F"/>
    <w:rsid w:val="00270DC9"/>
    <w:rsid w:val="00273A98"/>
    <w:rsid w:val="00287A8B"/>
    <w:rsid w:val="002A3B2D"/>
    <w:rsid w:val="002B28AC"/>
    <w:rsid w:val="002B7526"/>
    <w:rsid w:val="002D7DAC"/>
    <w:rsid w:val="002F7035"/>
    <w:rsid w:val="00326EFB"/>
    <w:rsid w:val="00342EE3"/>
    <w:rsid w:val="003654D6"/>
    <w:rsid w:val="003721B1"/>
    <w:rsid w:val="003831EB"/>
    <w:rsid w:val="0039587F"/>
    <w:rsid w:val="003D1B38"/>
    <w:rsid w:val="0041582D"/>
    <w:rsid w:val="0042061C"/>
    <w:rsid w:val="00420D01"/>
    <w:rsid w:val="004325A2"/>
    <w:rsid w:val="00452BD0"/>
    <w:rsid w:val="00455792"/>
    <w:rsid w:val="00473C8E"/>
    <w:rsid w:val="00492A51"/>
    <w:rsid w:val="004F39E8"/>
    <w:rsid w:val="004F7417"/>
    <w:rsid w:val="00505E39"/>
    <w:rsid w:val="00520725"/>
    <w:rsid w:val="00547C30"/>
    <w:rsid w:val="005544E2"/>
    <w:rsid w:val="00554C41"/>
    <w:rsid w:val="00557075"/>
    <w:rsid w:val="00560DFB"/>
    <w:rsid w:val="00565B10"/>
    <w:rsid w:val="00566363"/>
    <w:rsid w:val="00570E46"/>
    <w:rsid w:val="00572CAF"/>
    <w:rsid w:val="0057471A"/>
    <w:rsid w:val="00576A5E"/>
    <w:rsid w:val="00580115"/>
    <w:rsid w:val="00596A05"/>
    <w:rsid w:val="005A1E67"/>
    <w:rsid w:val="005A2B39"/>
    <w:rsid w:val="005E3C1A"/>
    <w:rsid w:val="00632FEF"/>
    <w:rsid w:val="00651B1B"/>
    <w:rsid w:val="00670468"/>
    <w:rsid w:val="00683455"/>
    <w:rsid w:val="006D215F"/>
    <w:rsid w:val="006D6B0D"/>
    <w:rsid w:val="006E5E7B"/>
    <w:rsid w:val="006F4CBB"/>
    <w:rsid w:val="00705A4F"/>
    <w:rsid w:val="0073551F"/>
    <w:rsid w:val="00735AC0"/>
    <w:rsid w:val="00775097"/>
    <w:rsid w:val="00775DC5"/>
    <w:rsid w:val="00782014"/>
    <w:rsid w:val="00792111"/>
    <w:rsid w:val="007B1BC6"/>
    <w:rsid w:val="007B28A2"/>
    <w:rsid w:val="007C165C"/>
    <w:rsid w:val="007C25F9"/>
    <w:rsid w:val="007C5909"/>
    <w:rsid w:val="007D79FE"/>
    <w:rsid w:val="008001DE"/>
    <w:rsid w:val="00802411"/>
    <w:rsid w:val="00826C8D"/>
    <w:rsid w:val="00854CD6"/>
    <w:rsid w:val="00865F62"/>
    <w:rsid w:val="008728C2"/>
    <w:rsid w:val="008740C1"/>
    <w:rsid w:val="00886808"/>
    <w:rsid w:val="008A702B"/>
    <w:rsid w:val="008B3021"/>
    <w:rsid w:val="008C00F5"/>
    <w:rsid w:val="008D6B4A"/>
    <w:rsid w:val="008E4D3B"/>
    <w:rsid w:val="008F19EF"/>
    <w:rsid w:val="00921E58"/>
    <w:rsid w:val="00947962"/>
    <w:rsid w:val="00975A0F"/>
    <w:rsid w:val="00981421"/>
    <w:rsid w:val="009908CB"/>
    <w:rsid w:val="009A7D15"/>
    <w:rsid w:val="009B78E1"/>
    <w:rsid w:val="009C2B6A"/>
    <w:rsid w:val="009C6169"/>
    <w:rsid w:val="009D4220"/>
    <w:rsid w:val="009F7FD7"/>
    <w:rsid w:val="00A22F32"/>
    <w:rsid w:val="00A26485"/>
    <w:rsid w:val="00A33BAE"/>
    <w:rsid w:val="00A34E31"/>
    <w:rsid w:val="00A414B3"/>
    <w:rsid w:val="00A97A98"/>
    <w:rsid w:val="00AB78C8"/>
    <w:rsid w:val="00AD1122"/>
    <w:rsid w:val="00AE51FC"/>
    <w:rsid w:val="00AF6267"/>
    <w:rsid w:val="00AF794A"/>
    <w:rsid w:val="00B1150D"/>
    <w:rsid w:val="00B20F0C"/>
    <w:rsid w:val="00B21357"/>
    <w:rsid w:val="00B31C00"/>
    <w:rsid w:val="00B47C1E"/>
    <w:rsid w:val="00B65CF1"/>
    <w:rsid w:val="00B840BA"/>
    <w:rsid w:val="00B9466D"/>
    <w:rsid w:val="00BA474F"/>
    <w:rsid w:val="00BA6433"/>
    <w:rsid w:val="00BB5D6B"/>
    <w:rsid w:val="00BD2280"/>
    <w:rsid w:val="00BF58DD"/>
    <w:rsid w:val="00C00E55"/>
    <w:rsid w:val="00C051D5"/>
    <w:rsid w:val="00C4383B"/>
    <w:rsid w:val="00C518AF"/>
    <w:rsid w:val="00C574FB"/>
    <w:rsid w:val="00C60E5D"/>
    <w:rsid w:val="00C77402"/>
    <w:rsid w:val="00C8547F"/>
    <w:rsid w:val="00C95EE7"/>
    <w:rsid w:val="00CA656C"/>
    <w:rsid w:val="00CB14FB"/>
    <w:rsid w:val="00CC6D2C"/>
    <w:rsid w:val="00CE5A54"/>
    <w:rsid w:val="00CE5EDE"/>
    <w:rsid w:val="00CE64D5"/>
    <w:rsid w:val="00D00B52"/>
    <w:rsid w:val="00D07B41"/>
    <w:rsid w:val="00D13D89"/>
    <w:rsid w:val="00D17054"/>
    <w:rsid w:val="00D20615"/>
    <w:rsid w:val="00D237BB"/>
    <w:rsid w:val="00D31ADA"/>
    <w:rsid w:val="00D33E24"/>
    <w:rsid w:val="00D37855"/>
    <w:rsid w:val="00D639E9"/>
    <w:rsid w:val="00D909DF"/>
    <w:rsid w:val="00D9454C"/>
    <w:rsid w:val="00D94987"/>
    <w:rsid w:val="00DA7BCB"/>
    <w:rsid w:val="00DB5DF9"/>
    <w:rsid w:val="00DE245F"/>
    <w:rsid w:val="00E21426"/>
    <w:rsid w:val="00E43A54"/>
    <w:rsid w:val="00E52EC3"/>
    <w:rsid w:val="00E54116"/>
    <w:rsid w:val="00EB6249"/>
    <w:rsid w:val="00EC2F93"/>
    <w:rsid w:val="00EC4934"/>
    <w:rsid w:val="00ED71ED"/>
    <w:rsid w:val="00EE7158"/>
    <w:rsid w:val="00F126A9"/>
    <w:rsid w:val="00F13505"/>
    <w:rsid w:val="00F13593"/>
    <w:rsid w:val="00F1715B"/>
    <w:rsid w:val="00F32740"/>
    <w:rsid w:val="00F42EE8"/>
    <w:rsid w:val="00F53B38"/>
    <w:rsid w:val="00F96ECD"/>
    <w:rsid w:val="00FA03D7"/>
    <w:rsid w:val="00FB2325"/>
    <w:rsid w:val="00FB6782"/>
    <w:rsid w:val="00FC1656"/>
    <w:rsid w:val="00FE3A6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9F6D"/>
  <w15:chartTrackingRefBased/>
  <w15:docId w15:val="{E8508A8F-3D5F-7743-A7B7-A656D0B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3F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F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F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F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F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F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F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F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3F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3F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F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F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F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F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F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FFF"/>
    <w:rPr>
      <w:rFonts w:eastAsiaTheme="majorEastAsia" w:cstheme="majorBidi"/>
      <w:color w:val="272727" w:themeColor="text1" w:themeTint="D8"/>
    </w:rPr>
  </w:style>
  <w:style w:type="paragraph" w:styleId="Titel">
    <w:name w:val="Title"/>
    <w:basedOn w:val="Standard"/>
    <w:next w:val="Standard"/>
    <w:link w:val="TitelZchn"/>
    <w:uiPriority w:val="10"/>
    <w:qFormat/>
    <w:rsid w:val="0000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F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F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F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F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FFF"/>
    <w:rPr>
      <w:i/>
      <w:iCs/>
      <w:color w:val="404040" w:themeColor="text1" w:themeTint="BF"/>
    </w:rPr>
  </w:style>
  <w:style w:type="paragraph" w:styleId="Listenabsatz">
    <w:name w:val="List Paragraph"/>
    <w:basedOn w:val="Standard"/>
    <w:uiPriority w:val="34"/>
    <w:qFormat/>
    <w:rsid w:val="00003FFF"/>
    <w:pPr>
      <w:ind w:left="720"/>
      <w:contextualSpacing/>
    </w:pPr>
  </w:style>
  <w:style w:type="character" w:styleId="IntensiveHervorhebung">
    <w:name w:val="Intense Emphasis"/>
    <w:basedOn w:val="Absatz-Standardschriftart"/>
    <w:uiPriority w:val="21"/>
    <w:qFormat/>
    <w:rsid w:val="00003FFF"/>
    <w:rPr>
      <w:i/>
      <w:iCs/>
      <w:color w:val="0F4761" w:themeColor="accent1" w:themeShade="BF"/>
    </w:rPr>
  </w:style>
  <w:style w:type="paragraph" w:styleId="IntensivesZitat">
    <w:name w:val="Intense Quote"/>
    <w:basedOn w:val="Standard"/>
    <w:next w:val="Standard"/>
    <w:link w:val="IntensivesZitatZchn"/>
    <w:uiPriority w:val="30"/>
    <w:qFormat/>
    <w:rsid w:val="0000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FFF"/>
    <w:rPr>
      <w:i/>
      <w:iCs/>
      <w:color w:val="0F4761" w:themeColor="accent1" w:themeShade="BF"/>
    </w:rPr>
  </w:style>
  <w:style w:type="character" w:styleId="IntensiverVerweis">
    <w:name w:val="Intense Reference"/>
    <w:basedOn w:val="Absatz-Standardschriftart"/>
    <w:uiPriority w:val="32"/>
    <w:qFormat/>
    <w:rsid w:val="00003FFF"/>
    <w:rPr>
      <w:b/>
      <w:bCs/>
      <w:smallCaps/>
      <w:color w:val="0F4761" w:themeColor="accent1" w:themeShade="BF"/>
      <w:spacing w:val="5"/>
    </w:rPr>
  </w:style>
  <w:style w:type="character" w:styleId="Fett">
    <w:name w:val="Strong"/>
    <w:basedOn w:val="Absatz-Standardschriftart"/>
    <w:uiPriority w:val="22"/>
    <w:qFormat/>
    <w:rsid w:val="0006029C"/>
    <w:rPr>
      <w:b/>
    </w:rPr>
  </w:style>
  <w:style w:type="character" w:styleId="Hyperlink">
    <w:name w:val="Hyperlink"/>
    <w:basedOn w:val="Absatz-Standardschriftart"/>
    <w:uiPriority w:val="99"/>
    <w:unhideWhenUsed/>
    <w:rsid w:val="00AF6267"/>
    <w:rPr>
      <w:color w:val="467886" w:themeColor="hyperlink"/>
      <w:u w:val="single"/>
    </w:rPr>
  </w:style>
  <w:style w:type="table" w:styleId="Tabellenraster">
    <w:name w:val="Table Grid"/>
    <w:basedOn w:val="NormaleTabelle"/>
    <w:uiPriority w:val="39"/>
    <w:rsid w:val="00AF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E245F"/>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Hervorhebung">
    <w:name w:val="Emphasis"/>
    <w:basedOn w:val="Absatz-Standardschriftart"/>
    <w:uiPriority w:val="20"/>
    <w:qFormat/>
    <w:rsid w:val="00DE245F"/>
    <w:rPr>
      <w:i/>
      <w:iCs/>
    </w:rPr>
  </w:style>
  <w:style w:type="character" w:styleId="NichtaufgelsteErwhnung">
    <w:name w:val="Unresolved Mention"/>
    <w:basedOn w:val="Absatz-Standardschriftart"/>
    <w:uiPriority w:val="99"/>
    <w:semiHidden/>
    <w:unhideWhenUsed/>
    <w:rsid w:val="006E5E7B"/>
    <w:rPr>
      <w:color w:val="605E5C"/>
      <w:shd w:val="clear" w:color="auto" w:fill="E1DFDD"/>
    </w:rPr>
  </w:style>
  <w:style w:type="paragraph" w:customStyle="1" w:styleId="Default">
    <w:name w:val="Default"/>
    <w:rsid w:val="003654D6"/>
    <w:pPr>
      <w:autoSpaceDE w:val="0"/>
      <w:autoSpaceDN w:val="0"/>
      <w:adjustRightInd w:val="0"/>
      <w:spacing w:after="0" w:line="240" w:lineRule="auto"/>
    </w:pPr>
    <w:rPr>
      <w:rFonts w:ascii="Aptos" w:hAnsi="Aptos" w:cs="Aptos"/>
      <w:color w:val="000000"/>
      <w:kern w:val="0"/>
      <w:lang w:val="de-DE"/>
    </w:rPr>
  </w:style>
  <w:style w:type="character" w:styleId="Kommentarzeichen">
    <w:name w:val="annotation reference"/>
    <w:basedOn w:val="Absatz-Standardschriftart"/>
    <w:uiPriority w:val="99"/>
    <w:semiHidden/>
    <w:unhideWhenUsed/>
    <w:rsid w:val="00705A4F"/>
    <w:rPr>
      <w:sz w:val="16"/>
      <w:szCs w:val="16"/>
    </w:rPr>
  </w:style>
  <w:style w:type="paragraph" w:styleId="Kommentartext">
    <w:name w:val="annotation text"/>
    <w:basedOn w:val="Standard"/>
    <w:link w:val="KommentartextZchn"/>
    <w:uiPriority w:val="99"/>
    <w:unhideWhenUsed/>
    <w:rsid w:val="00705A4F"/>
    <w:pPr>
      <w:spacing w:line="240" w:lineRule="auto"/>
    </w:pPr>
    <w:rPr>
      <w:sz w:val="20"/>
      <w:szCs w:val="20"/>
    </w:rPr>
  </w:style>
  <w:style w:type="character" w:customStyle="1" w:styleId="KommentartextZchn">
    <w:name w:val="Kommentartext Zchn"/>
    <w:basedOn w:val="Absatz-Standardschriftart"/>
    <w:link w:val="Kommentartext"/>
    <w:uiPriority w:val="99"/>
    <w:rsid w:val="00705A4F"/>
    <w:rPr>
      <w:sz w:val="20"/>
      <w:szCs w:val="20"/>
    </w:rPr>
  </w:style>
  <w:style w:type="paragraph" w:styleId="Kommentarthema">
    <w:name w:val="annotation subject"/>
    <w:basedOn w:val="Kommentartext"/>
    <w:next w:val="Kommentartext"/>
    <w:link w:val="KommentarthemaZchn"/>
    <w:uiPriority w:val="99"/>
    <w:semiHidden/>
    <w:unhideWhenUsed/>
    <w:rsid w:val="00705A4F"/>
    <w:rPr>
      <w:b/>
      <w:bCs/>
    </w:rPr>
  </w:style>
  <w:style w:type="character" w:customStyle="1" w:styleId="KommentarthemaZchn">
    <w:name w:val="Kommentarthema Zchn"/>
    <w:basedOn w:val="KommentartextZchn"/>
    <w:link w:val="Kommentarthema"/>
    <w:uiPriority w:val="99"/>
    <w:semiHidden/>
    <w:rsid w:val="00705A4F"/>
    <w:rPr>
      <w:b/>
      <w:bCs/>
      <w:sz w:val="20"/>
      <w:szCs w:val="20"/>
    </w:rPr>
  </w:style>
  <w:style w:type="paragraph" w:styleId="berarbeitung">
    <w:name w:val="Revision"/>
    <w:hidden/>
    <w:uiPriority w:val="99"/>
    <w:semiHidden/>
    <w:rsid w:val="00705A4F"/>
    <w:pPr>
      <w:spacing w:after="0" w:line="240" w:lineRule="auto"/>
    </w:pPr>
  </w:style>
  <w:style w:type="paragraph" w:styleId="Kopfzeile">
    <w:name w:val="header"/>
    <w:basedOn w:val="Standard"/>
    <w:link w:val="KopfzeileZchn"/>
    <w:uiPriority w:val="99"/>
    <w:unhideWhenUsed/>
    <w:rsid w:val="00AE51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51FC"/>
  </w:style>
  <w:style w:type="paragraph" w:styleId="Fuzeile">
    <w:name w:val="footer"/>
    <w:basedOn w:val="Standard"/>
    <w:link w:val="FuzeileZchn"/>
    <w:uiPriority w:val="99"/>
    <w:unhideWhenUsed/>
    <w:rsid w:val="00AE51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51FC"/>
  </w:style>
  <w:style w:type="character" w:customStyle="1" w:styleId="whitespace-normal">
    <w:name w:val="whitespace-normal"/>
    <w:basedOn w:val="Absatz-Standardschriftart"/>
    <w:rsid w:val="00EB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6120">
      <w:bodyDiv w:val="1"/>
      <w:marLeft w:val="0"/>
      <w:marRight w:val="0"/>
      <w:marTop w:val="0"/>
      <w:marBottom w:val="0"/>
      <w:divBdr>
        <w:top w:val="none" w:sz="0" w:space="0" w:color="auto"/>
        <w:left w:val="none" w:sz="0" w:space="0" w:color="auto"/>
        <w:bottom w:val="none" w:sz="0" w:space="0" w:color="auto"/>
        <w:right w:val="none" w:sz="0" w:space="0" w:color="auto"/>
      </w:divBdr>
    </w:div>
    <w:div w:id="730233962">
      <w:bodyDiv w:val="1"/>
      <w:marLeft w:val="0"/>
      <w:marRight w:val="0"/>
      <w:marTop w:val="0"/>
      <w:marBottom w:val="0"/>
      <w:divBdr>
        <w:top w:val="none" w:sz="0" w:space="0" w:color="auto"/>
        <w:left w:val="none" w:sz="0" w:space="0" w:color="auto"/>
        <w:bottom w:val="none" w:sz="0" w:space="0" w:color="auto"/>
        <w:right w:val="none" w:sz="0" w:space="0" w:color="auto"/>
      </w:divBdr>
    </w:div>
    <w:div w:id="958607358">
      <w:bodyDiv w:val="1"/>
      <w:marLeft w:val="0"/>
      <w:marRight w:val="0"/>
      <w:marTop w:val="0"/>
      <w:marBottom w:val="0"/>
      <w:divBdr>
        <w:top w:val="none" w:sz="0" w:space="0" w:color="auto"/>
        <w:left w:val="none" w:sz="0" w:space="0" w:color="auto"/>
        <w:bottom w:val="none" w:sz="0" w:space="0" w:color="auto"/>
        <w:right w:val="none" w:sz="0" w:space="0" w:color="auto"/>
      </w:divBdr>
    </w:div>
    <w:div w:id="18237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sula.piwigo.com/index?/category/1-hisense_gorenje_pa_aktuelle_marktzahlen" TargetMode="External"/><Relationship Id="rId17" Type="http://schemas.openxmlformats.org/officeDocument/2006/relationships/hyperlink" Target="mailto:nicole.madaras@gorenje.com" TargetMode="External"/><Relationship Id="rId2" Type="http://schemas.openxmlformats.org/officeDocument/2006/relationships/customXml" Target="../customXml/item2.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67E0A719F3D3419B08C21D52AAE834" ma:contentTypeVersion="16" ma:contentTypeDescription="Ein neues Dokument erstellen." ma:contentTypeScope="" ma:versionID="67b5a1ac6aaa9e9ba49fc6c0f9fbbfa9">
  <xsd:schema xmlns:xsd="http://www.w3.org/2001/XMLSchema" xmlns:xs="http://www.w3.org/2001/XMLSchema" xmlns:p="http://schemas.microsoft.com/office/2006/metadata/properties" xmlns:ns2="39b01948-1a7f-4d32-9aae-f85661781d3f" xmlns:ns3="a8770ef5-b124-47ed-a22d-c3fdba76d90d" targetNamespace="http://schemas.microsoft.com/office/2006/metadata/properties" ma:root="true" ma:fieldsID="f66ada5effcff8cd87a6df06e57d03af" ns2:_="" ns3:_="">
    <xsd:import namespace="39b01948-1a7f-4d32-9aae-f85661781d3f"/>
    <xsd:import namespace="a8770ef5-b124-47ed-a22d-c3fdba76d9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01948-1a7f-4d32-9aae-f85661781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e923dd0-dda7-49ea-a147-70e5745050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0ef5-b124-47ed-a22d-c3fdba76d9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7cfbf8c-bdd9-4866-b394-2c5b22003553}" ma:internalName="TaxCatchAll" ma:showField="CatchAllData" ma:web="a8770ef5-b124-47ed-a22d-c3fdba76d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770ef5-b124-47ed-a22d-c3fdba76d90d" xsi:nil="true"/>
    <lcf76f155ced4ddcb4097134ff3c332f xmlns="39b01948-1a7f-4d32-9aae-f85661781d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7DB90-7B7E-47B2-B784-4EC6D9E33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01948-1a7f-4d32-9aae-f85661781d3f"/>
    <ds:schemaRef ds:uri="a8770ef5-b124-47ed-a22d-c3fdba76d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5033D-4433-46AE-9E66-CBC718A5CA32}">
  <ds:schemaRefs>
    <ds:schemaRef ds:uri="http://schemas.microsoft.com/office/2006/metadata/properties"/>
    <ds:schemaRef ds:uri="http://schemas.microsoft.com/office/infopath/2007/PartnerControls"/>
    <ds:schemaRef ds:uri="a8770ef5-b124-47ed-a22d-c3fdba76d90d"/>
    <ds:schemaRef ds:uri="39b01948-1a7f-4d32-9aae-f85661781d3f"/>
  </ds:schemaRefs>
</ds:datastoreItem>
</file>

<file path=customXml/itemProps3.xml><?xml version="1.0" encoding="utf-8"?>
<ds:datastoreItem xmlns:ds="http://schemas.openxmlformats.org/officeDocument/2006/customXml" ds:itemID="{1FC7DE81-4B6E-4ECB-A716-BF382ECEB1E8}">
  <ds:schemaRefs>
    <ds:schemaRef ds:uri="http://schemas.microsoft.com/sharepoint/v3/contenttype/forms"/>
  </ds:schemaRefs>
</ds:datastoreItem>
</file>

<file path=docMetadata/LabelInfo.xml><?xml version="1.0" encoding="utf-8"?>
<clbl:labelList xmlns:clbl="http://schemas.microsoft.com/office/2020/mipLabelMetadata">
  <clbl:label id="{d430f0b8-e30e-4a8d-b589-3f97a9617219}" enabled="0" method="" siteId="{d430f0b8-e30e-4a8d-b589-3f97a96172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8090</Characters>
  <Application>Microsoft Office Word</Application>
  <DocSecurity>0</DocSecurity>
  <Lines>126</Lines>
  <Paragraphs>46</Paragraphs>
  <ScaleCrop>false</ScaleCrop>
  <HeadingPairs>
    <vt:vector size="2" baseType="variant">
      <vt:variant>
        <vt:lpstr>Titel</vt:lpstr>
      </vt:variant>
      <vt:variant>
        <vt:i4>1</vt:i4>
      </vt:variant>
    </vt:vector>
  </HeadingPairs>
  <TitlesOfParts>
    <vt:vector size="1" baseType="lpstr">
      <vt:lpstr/>
    </vt:vector>
  </TitlesOfParts>
  <Company>Ursula Wirth Consulting</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5</cp:revision>
  <dcterms:created xsi:type="dcterms:W3CDTF">2026-04-21T07:45:00Z</dcterms:created>
  <dcterms:modified xsi:type="dcterms:W3CDTF">2026-04-21T08:17:00Z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0x0101004867E0A719F3D3419B08C21D52AAE834</vt:lpwstr>
  </property>
  <property fmtid="{D5CDD505-2E9C-101B-9397-08002B2CF9AE}" pid="3" name="MediaServiceImageTags">
    <vt:lpwstr/>
  </property>
</Properties>
</file>