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F5272" w14:textId="77777777" w:rsidR="005C6578" w:rsidRDefault="001F0F7E">
      <w:pPr>
        <w:pStyle w:val="NurText1"/>
        <w:spacing w:line="276" w:lineRule="auto"/>
        <w:rPr>
          <w:rFonts w:ascii="Arial" w:hAnsi="Arial" w:cs="Arial"/>
          <w:b/>
          <w:szCs w:val="22"/>
          <w:lang w:val="en-US"/>
        </w:rPr>
      </w:pPr>
      <w:r>
        <w:rPr>
          <w:rFonts w:ascii="Arial" w:hAnsi="Arial" w:cs="Arial"/>
          <w:b/>
          <w:sz w:val="28"/>
          <w:szCs w:val="28"/>
          <w:lang w:val="en-US"/>
        </w:rPr>
        <w:t>Climate protection as a pawn in local politics</w:t>
      </w:r>
    </w:p>
    <w:p w14:paraId="41AAD6A0" w14:textId="77777777" w:rsidR="005C6578" w:rsidRDefault="005C6578">
      <w:pPr>
        <w:pStyle w:val="NurText1"/>
        <w:spacing w:line="276" w:lineRule="auto"/>
        <w:rPr>
          <w:rFonts w:ascii="Arial" w:hAnsi="Arial" w:cs="Arial"/>
          <w:b/>
          <w:szCs w:val="22"/>
          <w:lang w:val="en-US"/>
        </w:rPr>
      </w:pPr>
    </w:p>
    <w:p w14:paraId="51F891AA" w14:textId="77777777" w:rsidR="005C6578" w:rsidRDefault="001F0F7E">
      <w:pPr>
        <w:pStyle w:val="NurText1"/>
        <w:spacing w:line="276" w:lineRule="auto"/>
        <w:rPr>
          <w:rFonts w:ascii="Arial" w:hAnsi="Arial" w:cs="Arial"/>
          <w:b/>
          <w:szCs w:val="22"/>
          <w:lang w:val="en-US"/>
        </w:rPr>
      </w:pPr>
      <w:r>
        <w:rPr>
          <w:rFonts w:ascii="Arial" w:hAnsi="Arial" w:cs="Arial"/>
          <w:b/>
          <w:szCs w:val="22"/>
          <w:lang w:val="en-US"/>
        </w:rPr>
        <w:t>100 cities in Europe are to become climate-neutral by 2030. But what happens when this top-down plan collides with power plays at the local level? Cultural anthropologists in Klagenfurt, Warsaw, and Ljubljana are investigating how the urgency of climate protection measures is transacted – or blocked – amid local political skirmishing.</w:t>
      </w:r>
    </w:p>
    <w:p w14:paraId="47F902EB" w14:textId="77777777" w:rsidR="005C6578" w:rsidRDefault="005C6578">
      <w:pPr>
        <w:pStyle w:val="NurText1"/>
        <w:spacing w:line="276" w:lineRule="auto"/>
        <w:rPr>
          <w:rFonts w:ascii="Arial" w:hAnsi="Arial" w:cs="Arial"/>
          <w:b/>
          <w:szCs w:val="22"/>
          <w:lang w:val="en-US"/>
        </w:rPr>
      </w:pPr>
    </w:p>
    <w:p w14:paraId="36F1DB3F" w14:textId="77777777" w:rsidR="005C6578" w:rsidRDefault="001F0F7E">
      <w:pPr>
        <w:spacing w:line="276" w:lineRule="auto"/>
        <w:rPr>
          <w:rFonts w:ascii="Arial" w:hAnsi="Arial" w:cs="Arial"/>
          <w:color w:val="000000"/>
          <w:lang w:val="en-US"/>
        </w:rPr>
      </w:pPr>
      <w:r>
        <w:rPr>
          <w:rFonts w:ascii="Arial" w:hAnsi="Arial" w:cs="Arial"/>
          <w:color w:val="000000"/>
          <w:lang w:val="en-US"/>
        </w:rPr>
        <w:t xml:space="preserve">Climate neutrality by 2050, a 90 percent reduction in greenhouse gases by 2040 compared to 1990: these are the current, EU climate targets that have already been watered down. In order to meet these objectives, Europe’s cities must be on board, as their traffic flows, heating systems, and energy supplies generate a significant proportion of emissions. With its “100 Climate-neutral and Smart Cities by 2030” mission – or </w:t>
      </w:r>
      <w:r>
        <w:rPr>
          <w:rFonts w:ascii="Arial" w:hAnsi="Arial" w:cs="Arial"/>
          <w:lang w:val="en-US"/>
        </w:rPr>
        <w:t xml:space="preserve">EU Mission 100 for short – </w:t>
      </w:r>
      <w:r>
        <w:rPr>
          <w:rFonts w:ascii="Arial" w:hAnsi="Arial" w:cs="Arial"/>
          <w:color w:val="000000"/>
          <w:lang w:val="en-US"/>
        </w:rPr>
        <w:t xml:space="preserve">the EU aims to create incentives, promote innovation, and provide model examples. While the participating cities are highly divergent in terms of their individual situations, they are united by their desire to align their climate protection activities with the principles of social justice. Their guiding principle: no one is to be left behind. </w:t>
      </w:r>
    </w:p>
    <w:p w14:paraId="7774CC9C" w14:textId="77777777" w:rsidR="005C6578" w:rsidRDefault="001F0F7E">
      <w:pPr>
        <w:spacing w:line="276" w:lineRule="auto"/>
        <w:rPr>
          <w:rFonts w:ascii="Arial" w:hAnsi="Arial" w:cs="Arial"/>
          <w:color w:val="000000"/>
          <w:lang w:val="en-US"/>
        </w:rPr>
      </w:pPr>
      <w:r>
        <w:rPr>
          <w:rFonts w:ascii="Arial" w:hAnsi="Arial" w:cs="Arial"/>
          <w:color w:val="000000"/>
          <w:lang w:val="en-US"/>
        </w:rPr>
        <w:t xml:space="preserve">Researchers in the international project “Competing Urgencies: Translating Climate Neutrality in the EU,” which is co-funded by the Austrian Science Fund (FWF), are setting out to approach these transformation processes from a unique perspective. Alexandra Schwell, director of the Institute for Cultural Analysis at the University of Klagenfurt, and her colleagues have teamed up with colleagues in Poland and Slovenia. In order to investigate how climate protection measures are implemented they are using methods from cultural anthropology, comparing how policymakers and the general public grapple with the same issue in three very different cities. </w:t>
      </w:r>
    </w:p>
    <w:p w14:paraId="56DA7CE0" w14:textId="77777777" w:rsidR="005C6578" w:rsidRDefault="001F0F7E">
      <w:pPr>
        <w:spacing w:line="276" w:lineRule="auto"/>
        <w:rPr>
          <w:rFonts w:ascii="Arial" w:hAnsi="Arial" w:cs="Arial"/>
          <w:b/>
          <w:color w:val="000000"/>
          <w:lang w:val="en-US"/>
        </w:rPr>
      </w:pPr>
      <w:r>
        <w:rPr>
          <w:rFonts w:ascii="Arial" w:hAnsi="Arial" w:cs="Arial"/>
          <w:color w:val="000000"/>
          <w:lang w:val="en-US"/>
        </w:rPr>
        <w:t xml:space="preserve">Like Warsaw and Ljubljana, Klagenfurt is participating in the EU Mission 100. “The three cities are very different – not only in size, but also when it comes to economic, political, and social aspects. They also have very different ideas about how to implement climate action,” Schwell explains. “But the one commonality between them is that they are part of the same EU program. While they face the same requirements, they are confronted with vastly different conditions at the national and municipal levels. We want to compare the resulting negotiations in the three cities.” </w:t>
      </w:r>
    </w:p>
    <w:p w14:paraId="16F56F20" w14:textId="77777777" w:rsidR="005C6578" w:rsidRDefault="001F0F7E">
      <w:pPr>
        <w:spacing w:line="276" w:lineRule="auto"/>
        <w:rPr>
          <w:rFonts w:ascii="Arial" w:hAnsi="Arial" w:cs="Arial"/>
          <w:color w:val="000000"/>
          <w:lang w:val="en-US"/>
        </w:rPr>
      </w:pPr>
      <w:r>
        <w:rPr>
          <w:rFonts w:ascii="Arial" w:hAnsi="Arial" w:cs="Arial"/>
          <w:b/>
          <w:color w:val="000000"/>
          <w:lang w:val="en-US"/>
        </w:rPr>
        <w:t>How societies set priorities</w:t>
      </w:r>
    </w:p>
    <w:p w14:paraId="60B4D89E" w14:textId="77777777" w:rsidR="005C6578" w:rsidRDefault="001F0F7E">
      <w:pPr>
        <w:spacing w:line="276" w:lineRule="auto"/>
        <w:rPr>
          <w:rFonts w:ascii="Arial" w:hAnsi="Arial" w:cs="Arial"/>
          <w:color w:val="000000"/>
          <w:lang w:val="en-US"/>
        </w:rPr>
      </w:pPr>
      <w:r>
        <w:rPr>
          <w:rFonts w:ascii="Arial" w:hAnsi="Arial" w:cs="Arial"/>
          <w:color w:val="000000"/>
          <w:lang w:val="en-US"/>
        </w:rPr>
        <w:t>The EU mission sets the framework for “politics of urgency” that prioritize climate protection and insists on results. The theoretical approach of Schwell and her colleagues is also based on the concept of urgency: “The simultaneity of many crises generates uncertainty and fear. In the context of an ‘anthropology of urgency,’ we want to examine how society deals with this uncertainty – and the resulting necessity for fast action,” Schwell explains. “</w:t>
      </w:r>
      <w:proofErr w:type="gramStart"/>
      <w:r>
        <w:rPr>
          <w:rFonts w:ascii="Arial" w:hAnsi="Arial" w:cs="Arial"/>
          <w:color w:val="000000"/>
          <w:lang w:val="en-US"/>
        </w:rPr>
        <w:t>So</w:t>
      </w:r>
      <w:proofErr w:type="gramEnd"/>
      <w:r>
        <w:rPr>
          <w:rFonts w:ascii="Arial" w:hAnsi="Arial" w:cs="Arial"/>
          <w:color w:val="000000"/>
          <w:lang w:val="en-US"/>
        </w:rPr>
        <w:t xml:space="preserve"> what is given higher priority and what is postponed as a trade-off? How are issues characterized as urgent, and what images, arguments, and metaphors are used? Whose sense of urgency is relevant, and how does it work as a mobilizing tool? Asking these and similar questions, we aim to gain a better understanding of societies and their inherent power dynamics.”</w:t>
      </w:r>
    </w:p>
    <w:p w14:paraId="003EB1C8" w14:textId="77777777" w:rsidR="005C6578" w:rsidRDefault="001F0F7E">
      <w:pPr>
        <w:spacing w:line="276" w:lineRule="auto"/>
        <w:rPr>
          <w:rFonts w:ascii="Arial" w:hAnsi="Arial" w:cs="Arial"/>
          <w:b/>
          <w:lang w:val="en-US"/>
        </w:rPr>
      </w:pPr>
      <w:r>
        <w:rPr>
          <w:rFonts w:ascii="Arial" w:hAnsi="Arial" w:cs="Arial"/>
          <w:color w:val="000000"/>
          <w:lang w:val="en-US"/>
        </w:rPr>
        <w:t xml:space="preserve">The methods of cultural anthropology include participant observation, conversations, and structured interviews. As a qualitative discipline that does not seek to test preconceptions but instead proceeds in an open-ended and exploratory manner, ethnographic research is not representative. It conducts deep investigation of specific contexts that enable the </w:t>
      </w:r>
      <w:r>
        <w:rPr>
          <w:rFonts w:ascii="Arial" w:hAnsi="Arial" w:cs="Arial"/>
          <w:color w:val="000000"/>
          <w:lang w:val="en-US"/>
        </w:rPr>
        <w:lastRenderedPageBreak/>
        <w:t xml:space="preserve">researchers to draw conclusions that can be generalized. In Klagenfurt, the researchers focus on two main areas: </w:t>
      </w:r>
      <w:proofErr w:type="spellStart"/>
      <w:r>
        <w:rPr>
          <w:rFonts w:ascii="Arial" w:hAnsi="Arial" w:cs="Arial"/>
          <w:color w:val="000000"/>
          <w:lang w:val="en-US"/>
        </w:rPr>
        <w:t>Schwell’s</w:t>
      </w:r>
      <w:proofErr w:type="spellEnd"/>
      <w:r>
        <w:rPr>
          <w:rFonts w:ascii="Arial" w:hAnsi="Arial" w:cs="Arial"/>
          <w:color w:val="000000"/>
          <w:lang w:val="en-US"/>
        </w:rPr>
        <w:t xml:space="preserve"> colleague Johannes </w:t>
      </w:r>
      <w:proofErr w:type="spellStart"/>
      <w:r>
        <w:rPr>
          <w:rFonts w:ascii="Arial" w:hAnsi="Arial" w:cs="Arial"/>
          <w:color w:val="000000"/>
          <w:lang w:val="en-US"/>
        </w:rPr>
        <w:t>Kröger</w:t>
      </w:r>
      <w:proofErr w:type="spellEnd"/>
      <w:r>
        <w:rPr>
          <w:rFonts w:ascii="Arial" w:hAnsi="Arial" w:cs="Arial"/>
          <w:color w:val="000000"/>
          <w:lang w:val="en-US"/>
        </w:rPr>
        <w:t xml:space="preserve"> focuses his work on the city’s water policy. Built on marshland near a lake, Klagenfurt is particularly vulnerable to flooding caused by heavy rainfall. By approaching water not only as a material reality but also as a sociocultural and institutional one, </w:t>
      </w:r>
      <w:proofErr w:type="spellStart"/>
      <w:r>
        <w:rPr>
          <w:rFonts w:ascii="Arial" w:hAnsi="Arial" w:cs="Arial"/>
          <w:color w:val="000000"/>
          <w:lang w:val="en-US"/>
        </w:rPr>
        <w:t>Kröger</w:t>
      </w:r>
      <w:proofErr w:type="spellEnd"/>
      <w:r>
        <w:rPr>
          <w:rFonts w:ascii="Arial" w:hAnsi="Arial" w:cs="Arial"/>
          <w:color w:val="000000"/>
          <w:lang w:val="en-US"/>
        </w:rPr>
        <w:t xml:space="preserve"> analyzes the growing conflicts between urban development, nature conservation, cultural practices, and technical solutions. “Infrastructure measures that seemed sensible in the past are now giving the city headaches. This would involve investments, but the available funds are scarce,” notes Schwell. For his research, </w:t>
      </w:r>
      <w:proofErr w:type="spellStart"/>
      <w:r>
        <w:rPr>
          <w:rFonts w:ascii="Arial" w:hAnsi="Arial" w:cs="Arial"/>
          <w:color w:val="000000"/>
          <w:lang w:val="en-US"/>
        </w:rPr>
        <w:t>Kröger</w:t>
      </w:r>
      <w:proofErr w:type="spellEnd"/>
      <w:r>
        <w:rPr>
          <w:rFonts w:ascii="Arial" w:hAnsi="Arial" w:cs="Arial"/>
          <w:color w:val="000000"/>
          <w:lang w:val="en-US"/>
        </w:rPr>
        <w:t xml:space="preserve"> talks to experts, politicians, and also to socially disadvantaged people who use nearby Lake </w:t>
      </w:r>
      <w:proofErr w:type="spellStart"/>
      <w:r>
        <w:rPr>
          <w:rFonts w:ascii="Arial" w:hAnsi="Arial" w:cs="Arial"/>
          <w:color w:val="000000"/>
          <w:lang w:val="en-US"/>
        </w:rPr>
        <w:t>Wörthersee’s</w:t>
      </w:r>
      <w:proofErr w:type="spellEnd"/>
      <w:r>
        <w:rPr>
          <w:rFonts w:ascii="Arial" w:hAnsi="Arial" w:cs="Arial"/>
          <w:color w:val="000000"/>
          <w:lang w:val="en-US"/>
        </w:rPr>
        <w:t xml:space="preserve"> outflow as a low-cost recreation area. </w:t>
      </w:r>
    </w:p>
    <w:p w14:paraId="0036E7C1" w14:textId="77777777" w:rsidR="005C6578" w:rsidRDefault="001F0F7E">
      <w:pPr>
        <w:spacing w:line="276" w:lineRule="auto"/>
        <w:rPr>
          <w:rFonts w:ascii="Arial" w:hAnsi="Arial" w:cs="Arial"/>
          <w:color w:val="000000"/>
          <w:lang w:val="en-US"/>
        </w:rPr>
      </w:pPr>
      <w:r>
        <w:rPr>
          <w:rFonts w:ascii="Arial" w:hAnsi="Arial" w:cs="Arial"/>
          <w:b/>
          <w:lang w:val="en-US"/>
        </w:rPr>
        <w:t>Reversal on electric buses despite EU targets</w:t>
      </w:r>
    </w:p>
    <w:p w14:paraId="55657D07" w14:textId="77777777" w:rsidR="005C6578" w:rsidRDefault="001F0F7E">
      <w:pPr>
        <w:spacing w:line="276" w:lineRule="auto"/>
        <w:rPr>
          <w:rFonts w:ascii="Arial" w:hAnsi="Arial" w:cs="Arial"/>
          <w:color w:val="000000"/>
          <w:lang w:val="en-US"/>
        </w:rPr>
      </w:pPr>
      <w:r>
        <w:rPr>
          <w:rFonts w:ascii="Arial" w:hAnsi="Arial" w:cs="Arial"/>
          <w:color w:val="000000"/>
          <w:lang w:val="en-US"/>
        </w:rPr>
        <w:t xml:space="preserve">Schwell herself is exploring how the legitimacy of emergency policy is negotiated. One aspect that is particularly interesting in this context is a reversal regarding a pivotal measure for CO2 reduction in Klagenfurt. “A key pillar of the city’s climate policy – and ultimately also its participation in the EU Mission 100 – was the conversion of its bus fleet to electric vehicles. A major investment was planned in this context,” explains Schwell. In the fall of 2025, the project was ultimately ditched at the political level. “The city government argued that there was no money for it and that the public was opposed to the upgrade. Funds that had already been disbursed must be repaid,” notes Schwell. Thus, a significant emission reduction – which was supposed to account for about a quarter of the city’s total CO2 reduction on the path to climate neutrality by 2030 – was cancelled. </w:t>
      </w:r>
    </w:p>
    <w:p w14:paraId="317A5A4F" w14:textId="77777777" w:rsidR="005C6578" w:rsidRDefault="001F0F7E">
      <w:pPr>
        <w:spacing w:line="276" w:lineRule="auto"/>
        <w:rPr>
          <w:rFonts w:ascii="Arial" w:hAnsi="Arial" w:cs="Arial"/>
          <w:b/>
          <w:lang w:val="en-US"/>
        </w:rPr>
      </w:pPr>
      <w:r>
        <w:rPr>
          <w:rFonts w:ascii="Arial" w:hAnsi="Arial" w:cs="Arial"/>
          <w:color w:val="000000"/>
          <w:lang w:val="en-US"/>
        </w:rPr>
        <w:t>As Schwell reports, this decision was “highly frustrating” from the perspective of many stakeholders. “A long-term climate protection project was sacrificed to short-term populist calculations – that was the perception among all those who had advocated for climate neutrality in Carinthia and the 100 Cities Initiative.” Despite the framework of the EU initiative, the urgency of the long-term existential threat posed by the climate crisis was not strong enough to implement a prestigious, high-visibility measure. “Urgency, even when backed by scientific facts, must be defended politically time and again,” Schwell emphasizes. “The political actors in Klagenfurt ultimately construed justification for new goals by citing alleged voter sentiment and financial considerations.”</w:t>
      </w:r>
    </w:p>
    <w:p w14:paraId="3DE768AF" w14:textId="77777777" w:rsidR="005C6578" w:rsidRDefault="001F0F7E">
      <w:pPr>
        <w:spacing w:line="276" w:lineRule="auto"/>
        <w:rPr>
          <w:rFonts w:ascii="Arial" w:hAnsi="Arial" w:cs="Arial"/>
          <w:color w:val="000000"/>
          <w:lang w:val="en-US"/>
        </w:rPr>
      </w:pPr>
      <w:r>
        <w:rPr>
          <w:rFonts w:ascii="Arial" w:hAnsi="Arial" w:cs="Arial"/>
          <w:b/>
          <w:lang w:val="en-US"/>
        </w:rPr>
        <w:t xml:space="preserve">Klagenfurt’s EU mission – barely known in Austria </w:t>
      </w:r>
    </w:p>
    <w:p w14:paraId="71A7CF32" w14:textId="77777777" w:rsidR="005C6578" w:rsidRDefault="001F0F7E">
      <w:pPr>
        <w:spacing w:line="276" w:lineRule="auto"/>
        <w:rPr>
          <w:rFonts w:ascii="Arial" w:hAnsi="Arial" w:cs="Arial"/>
          <w:color w:val="000000"/>
          <w:lang w:val="en-US"/>
        </w:rPr>
      </w:pPr>
      <w:r>
        <w:rPr>
          <w:rFonts w:ascii="Arial" w:hAnsi="Arial" w:cs="Arial"/>
          <w:color w:val="000000"/>
          <w:lang w:val="en-US"/>
        </w:rPr>
        <w:t xml:space="preserve">An aspect that is consistent with this trend of local decision-makers showing resistance to environmental and EU goals, is how the EU initiative is communicated in Austria. “It’s very telling that the EU Mission 100 is virtually unknown in this country, even though Klagenfurt is the only Austrian city to have achieved this status,” says Schwell. “In Ljubljana and Warsaw, the situation is quite different: there, the EU initiative is actively promoted – in part to give political decision-makers a progressive image.” In an ironic twist, it is the public buses there that are plastered with advertisements for the 100 Cities Mission. </w:t>
      </w:r>
    </w:p>
    <w:p w14:paraId="4DC4B842" w14:textId="77777777" w:rsidR="005C6578" w:rsidRDefault="001F0F7E">
      <w:pPr>
        <w:spacing w:line="276" w:lineRule="auto"/>
        <w:rPr>
          <w:rFonts w:ascii="Arial" w:hAnsi="Arial" w:cs="Arial"/>
          <w:b/>
          <w:lang w:val="en-US"/>
        </w:rPr>
      </w:pPr>
      <w:r>
        <w:rPr>
          <w:rFonts w:ascii="Arial" w:hAnsi="Arial" w:cs="Arial"/>
          <w:color w:val="000000"/>
          <w:lang w:val="en-US"/>
        </w:rPr>
        <w:t xml:space="preserve">The political narratives surrounding the EU project also differ fundamentally across the cities in this comparison. “In Warsaw, the focus is on urban development. In addition to construction measures such as insulating as many apartments as possible, greater urgency is being placed on the vision of a vibrant urban community. This also includes making the climate protection discourse part of the political mainstream,” explains Schwell. “In Ljubljana, climate neutrality is also accorded a high degree of urgency in public discourse. However, it often seems to be used merely as a label that is also put on projects having little to do with </w:t>
      </w:r>
      <w:r>
        <w:rPr>
          <w:rFonts w:ascii="Arial" w:hAnsi="Arial" w:cs="Arial"/>
          <w:color w:val="000000"/>
          <w:lang w:val="en-US"/>
        </w:rPr>
        <w:lastRenderedPageBreak/>
        <w:t>climate protection. Local politicians are accused of greenwashing – i.e. green rhetoric used to present them in a favorable light.” In Klagenfurt, the situation is different. Here, pressure from the EU level translates into neither a driver of climate protection nor a PR façade – it simply tends to be perceived as a disruptive political factor.</w:t>
      </w:r>
    </w:p>
    <w:p w14:paraId="0EDDA900" w14:textId="77777777" w:rsidR="005C6578" w:rsidRPr="00737AC8" w:rsidRDefault="001F0F7E">
      <w:pPr>
        <w:spacing w:line="276" w:lineRule="auto"/>
        <w:rPr>
          <w:lang w:val="en-US"/>
        </w:rPr>
      </w:pPr>
      <w:r>
        <w:rPr>
          <w:rFonts w:ascii="Arial" w:hAnsi="Arial" w:cs="Arial"/>
          <w:b/>
          <w:lang w:val="en-US"/>
        </w:rPr>
        <w:t>About the researcher</w:t>
      </w:r>
    </w:p>
    <w:p w14:paraId="68A9237D" w14:textId="47B304DD" w:rsidR="005C6578" w:rsidRDefault="00DC4D29">
      <w:pPr>
        <w:spacing w:line="276" w:lineRule="auto"/>
        <w:rPr>
          <w:rFonts w:ascii="Arial" w:hAnsi="Arial" w:cs="Arial"/>
          <w:lang w:val="en-US"/>
        </w:rPr>
      </w:pPr>
      <w:hyperlink w:anchor="tab-id-2" w:history="1">
        <w:r w:rsidR="001F0F7E">
          <w:rPr>
            <w:rStyle w:val="Hyperlink"/>
            <w:rFonts w:ascii="Arial" w:hAnsi="Arial" w:cs="Arial"/>
            <w:lang w:val="en-US"/>
          </w:rPr>
          <w:t>Alexandra Schwell</w:t>
        </w:r>
      </w:hyperlink>
      <w:r w:rsidR="001F0F7E">
        <w:rPr>
          <w:rFonts w:ascii="Arial" w:hAnsi="Arial" w:cs="Arial"/>
          <w:lang w:val="en-US"/>
        </w:rPr>
        <w:t xml:space="preserve"> studied European Ethnology, Sociology, and Political Science in Berlin and </w:t>
      </w:r>
      <w:r w:rsidRPr="00DC4D29">
        <w:rPr>
          <w:rFonts w:ascii="Arial" w:hAnsi="Arial" w:cs="Arial"/>
          <w:lang w:val="en-US"/>
        </w:rPr>
        <w:t>Poznań</w:t>
      </w:r>
      <w:r w:rsidR="001F0F7E">
        <w:rPr>
          <w:rFonts w:ascii="Arial" w:hAnsi="Arial" w:cs="Arial"/>
          <w:lang w:val="en-US"/>
        </w:rPr>
        <w:t xml:space="preserve">, Poland, and earned her Ph.D. in Comparative Cultural and Social Anthropology at the European University Viadrina in Frankfurt/Oder. Since 2019, she has been a professor of Empirical Cultural </w:t>
      </w:r>
      <w:r>
        <w:rPr>
          <w:rFonts w:ascii="Arial" w:hAnsi="Arial" w:cs="Arial"/>
          <w:lang w:val="en-US"/>
        </w:rPr>
        <w:t>Analysis</w:t>
      </w:r>
      <w:r w:rsidR="001F0F7E">
        <w:rPr>
          <w:rFonts w:ascii="Arial" w:hAnsi="Arial" w:cs="Arial"/>
          <w:lang w:val="en-US"/>
        </w:rPr>
        <w:t xml:space="preserve"> at the University of Klagenfurt. Her research focuses on security and fear, borders, and Europeanization processes from a cultural anthropological perspective. </w:t>
      </w:r>
    </w:p>
    <w:p w14:paraId="3BC35EFB" w14:textId="6ADEA3DA" w:rsidR="005C6578" w:rsidRDefault="001F0F7E">
      <w:pPr>
        <w:spacing w:line="276" w:lineRule="auto"/>
        <w:rPr>
          <w:rFonts w:ascii="Arial" w:hAnsi="Arial" w:cs="Arial"/>
          <w:lang w:val="en-US"/>
        </w:rPr>
      </w:pPr>
      <w:r>
        <w:rPr>
          <w:rFonts w:ascii="Arial" w:hAnsi="Arial" w:cs="Arial"/>
          <w:lang w:val="en-US"/>
        </w:rPr>
        <w:t xml:space="preserve">Set to run from 2024 to 2028, the project </w:t>
      </w:r>
      <w:hyperlink r:id="rId7" w:history="1">
        <w:r w:rsidRPr="00737AC8">
          <w:rPr>
            <w:rStyle w:val="Hyperlink"/>
            <w:rFonts w:ascii="Arial" w:hAnsi="Arial" w:cs="Arial"/>
            <w:lang w:val="en-US"/>
          </w:rPr>
          <w:t>“Competing Urgencies: Translating Climate Neutrality in the EU”</w:t>
        </w:r>
      </w:hyperlink>
      <w:r>
        <w:rPr>
          <w:rFonts w:ascii="Arial" w:hAnsi="Arial" w:cs="Arial"/>
          <w:lang w:val="en-US"/>
        </w:rPr>
        <w:t xml:space="preserve"> receives EUR 385,000 in funding in Austria in the context of the WEAVE program of the Austrian Science Fund (FWF). For this project, Schwell and her team are collaborating with researchers led by </w:t>
      </w:r>
      <w:proofErr w:type="spellStart"/>
      <w:r>
        <w:rPr>
          <w:rFonts w:ascii="Arial" w:hAnsi="Arial" w:cs="Arial"/>
          <w:lang w:val="en-US"/>
        </w:rPr>
        <w:t>Saša</w:t>
      </w:r>
      <w:proofErr w:type="spellEnd"/>
      <w:r>
        <w:rPr>
          <w:rFonts w:ascii="Arial" w:hAnsi="Arial" w:cs="Arial"/>
          <w:lang w:val="en-US"/>
        </w:rPr>
        <w:t xml:space="preserve"> </w:t>
      </w:r>
      <w:proofErr w:type="spellStart"/>
      <w:r>
        <w:rPr>
          <w:rFonts w:ascii="Arial" w:hAnsi="Arial" w:cs="Arial"/>
          <w:lang w:val="en-US"/>
        </w:rPr>
        <w:t>Poljak</w:t>
      </w:r>
      <w:proofErr w:type="spellEnd"/>
      <w:r>
        <w:rPr>
          <w:rFonts w:ascii="Arial" w:hAnsi="Arial" w:cs="Arial"/>
          <w:lang w:val="en-US"/>
        </w:rPr>
        <w:t xml:space="preserve"> </w:t>
      </w:r>
      <w:proofErr w:type="spellStart"/>
      <w:r>
        <w:rPr>
          <w:rFonts w:ascii="Arial" w:hAnsi="Arial" w:cs="Arial"/>
          <w:lang w:val="en-US"/>
        </w:rPr>
        <w:t>Istenič</w:t>
      </w:r>
      <w:proofErr w:type="spellEnd"/>
      <w:r>
        <w:rPr>
          <w:rFonts w:ascii="Arial" w:hAnsi="Arial" w:cs="Arial"/>
          <w:lang w:val="en-US"/>
        </w:rPr>
        <w:t xml:space="preserve"> from the Institute of Slovenian Ethnology at the Research Center of the Slovenian Academy of Sciences and Arts (ZRC SAZU) in </w:t>
      </w:r>
      <w:r>
        <w:rPr>
          <w:rFonts w:ascii="Arial" w:hAnsi="Arial" w:cs="Arial"/>
          <w:color w:val="000000"/>
          <w:lang w:val="en-US"/>
        </w:rPr>
        <w:t xml:space="preserve">Ljubljana, </w:t>
      </w:r>
      <w:r>
        <w:rPr>
          <w:rFonts w:ascii="Arial" w:hAnsi="Arial" w:cs="Arial"/>
          <w:lang w:val="en-US"/>
        </w:rPr>
        <w:t xml:space="preserve">as well as Anna </w:t>
      </w:r>
      <w:proofErr w:type="spellStart"/>
      <w:r>
        <w:rPr>
          <w:rFonts w:ascii="Arial" w:hAnsi="Arial" w:cs="Arial"/>
          <w:lang w:val="en-US"/>
        </w:rPr>
        <w:t>Horolets</w:t>
      </w:r>
      <w:proofErr w:type="spellEnd"/>
      <w:r>
        <w:rPr>
          <w:rFonts w:ascii="Arial" w:hAnsi="Arial" w:cs="Arial"/>
          <w:lang w:val="en-US"/>
        </w:rPr>
        <w:t xml:space="preserve"> from the Institute of Ethnology and Cultural Anthropology at the University of Warsaw.</w:t>
      </w:r>
    </w:p>
    <w:p w14:paraId="511FA497" w14:textId="77777777" w:rsidR="005C6578" w:rsidRDefault="005C6578">
      <w:pPr>
        <w:spacing w:line="276" w:lineRule="auto"/>
        <w:rPr>
          <w:rFonts w:ascii="Arial" w:hAnsi="Arial" w:cs="Arial"/>
          <w:lang w:val="en-US"/>
        </w:rPr>
      </w:pPr>
    </w:p>
    <w:p w14:paraId="45FA13CA" w14:textId="77777777" w:rsidR="005C6578" w:rsidRDefault="001F0F7E">
      <w:pPr>
        <w:spacing w:line="276" w:lineRule="auto"/>
        <w:rPr>
          <w:rFonts w:ascii="Arial" w:hAnsi="Arial" w:cs="Arial"/>
          <w:lang w:val="en-US"/>
        </w:rPr>
      </w:pPr>
      <w:r>
        <w:rPr>
          <w:rFonts w:ascii="Arial" w:hAnsi="Arial" w:cs="Arial"/>
          <w:b/>
          <w:bCs/>
          <w:lang w:val="en-US"/>
        </w:rPr>
        <w:t>More information:</w:t>
      </w:r>
      <w:hyperlink r:id="rId8" w:history="1">
        <w:r>
          <w:rPr>
            <w:rStyle w:val="Hyperlink"/>
            <w:rFonts w:ascii="Arial" w:hAnsi="Arial" w:cs="Arial"/>
            <w:lang w:val="en-US"/>
          </w:rPr>
          <w:t xml:space="preserve"> https://eu-urge.zrc-sazu.si/</w:t>
        </w:r>
      </w:hyperlink>
      <w:r>
        <w:rPr>
          <w:rFonts w:ascii="Arial" w:hAnsi="Arial" w:cs="Arial"/>
          <w:lang w:val="en-US"/>
        </w:rPr>
        <w:t xml:space="preserve"> </w:t>
      </w:r>
    </w:p>
    <w:p w14:paraId="25D60B8B" w14:textId="77777777" w:rsidR="005C6578" w:rsidRDefault="005C6578">
      <w:pPr>
        <w:spacing w:line="276" w:lineRule="auto"/>
        <w:rPr>
          <w:rFonts w:ascii="Arial" w:hAnsi="Arial" w:cs="Arial"/>
          <w:lang w:val="en-US"/>
        </w:rPr>
      </w:pPr>
    </w:p>
    <w:p w14:paraId="1F85A133" w14:textId="77777777" w:rsidR="005C6578" w:rsidRPr="00574C8B" w:rsidRDefault="001F0F7E">
      <w:pPr>
        <w:spacing w:line="276" w:lineRule="auto"/>
        <w:rPr>
          <w:lang w:val="en-US"/>
        </w:rPr>
      </w:pPr>
      <w:r>
        <w:rPr>
          <w:rFonts w:ascii="Arial" w:hAnsi="Arial" w:cs="Arial"/>
          <w:b/>
          <w:lang w:val="en-US"/>
        </w:rPr>
        <w:t>Publications</w:t>
      </w:r>
    </w:p>
    <w:p w14:paraId="6485E2DD" w14:textId="77777777" w:rsidR="005C6578" w:rsidRPr="00737AC8" w:rsidRDefault="00DC4D29">
      <w:pPr>
        <w:pStyle w:val="StandardWeb1"/>
        <w:spacing w:line="276" w:lineRule="auto"/>
        <w:rPr>
          <w:lang w:val="en-US"/>
        </w:rPr>
      </w:pPr>
      <w:hyperlink r:id="rId9" w:history="1">
        <w:r w:rsidR="001F0F7E">
          <w:rPr>
            <w:rStyle w:val="Hyperlink"/>
            <w:rFonts w:ascii="Arial" w:eastAsia="Times New Roman" w:hAnsi="Arial" w:cs="Arial"/>
            <w:sz w:val="20"/>
            <w:szCs w:val="20"/>
            <w:lang w:val="en-US"/>
          </w:rPr>
          <w:t>My only friend, the End. Urgency Politics and the Blackout</w:t>
        </w:r>
      </w:hyperlink>
      <w:r w:rsidR="001F0F7E">
        <w:rPr>
          <w:rFonts w:ascii="Arial" w:eastAsia="Times New Roman" w:hAnsi="Arial" w:cs="Arial"/>
          <w:sz w:val="20"/>
          <w:szCs w:val="20"/>
          <w:lang w:val="en-US"/>
        </w:rPr>
        <w:t xml:space="preserve">, in: Cities. The International Journal of Urban Policy and Planning 2025 </w:t>
      </w:r>
    </w:p>
    <w:p w14:paraId="7F5D211B" w14:textId="77777777" w:rsidR="005C6578" w:rsidRDefault="00DC4D29">
      <w:pPr>
        <w:pStyle w:val="StandardWeb1"/>
        <w:spacing w:line="276" w:lineRule="auto"/>
      </w:pPr>
      <w:hyperlink r:id="rId10" w:history="1">
        <w:r w:rsidR="001F0F7E">
          <w:rPr>
            <w:rStyle w:val="Hyperlink"/>
            <w:rFonts w:ascii="Arial" w:eastAsia="Times New Roman" w:hAnsi="Arial" w:cs="Arial"/>
            <w:sz w:val="20"/>
            <w:szCs w:val="20"/>
          </w:rPr>
          <w:t>Hitze, Sommer, Einsamkeit – Handlungsempfehlungen für eine zukunftsfitte Stadt</w:t>
        </w:r>
      </w:hyperlink>
      <w:r w:rsidR="001F0F7E">
        <w:rPr>
          <w:rFonts w:ascii="Arial" w:eastAsia="Times New Roman" w:hAnsi="Arial" w:cs="Arial"/>
          <w:sz w:val="20"/>
          <w:szCs w:val="20"/>
        </w:rPr>
        <w:t>, Institut für Kulturanalyse 2025</w:t>
      </w:r>
    </w:p>
    <w:p w14:paraId="32CC0D6F" w14:textId="77777777" w:rsidR="005C6578" w:rsidRDefault="005C6578">
      <w:pPr>
        <w:pStyle w:val="StandardWeb1"/>
        <w:spacing w:line="276" w:lineRule="auto"/>
      </w:pPr>
    </w:p>
    <w:p w14:paraId="07C8E48C" w14:textId="4F80B5AE" w:rsidR="00737AC8" w:rsidRPr="00740CC0" w:rsidRDefault="00737AC8" w:rsidP="00737AC8">
      <w:pPr>
        <w:ind w:right="-853"/>
        <w:rPr>
          <w:rStyle w:val="Hyperlink"/>
          <w:rFonts w:ascii="Arial" w:hAnsi="Arial" w:cs="Arial"/>
          <w:color w:val="000000"/>
          <w:sz w:val="20"/>
          <w:szCs w:val="20"/>
          <w:lang w:val="en-US"/>
        </w:rPr>
      </w:pPr>
      <w:r w:rsidRPr="00740CC0">
        <w:rPr>
          <w:rFonts w:ascii="Arial" w:hAnsi="Arial" w:cs="Arial"/>
          <w:sz w:val="20"/>
          <w:szCs w:val="20"/>
          <w:lang w:val="en-US"/>
        </w:rPr>
        <w:t xml:space="preserve">Image and text will be available as of Monday, </w:t>
      </w:r>
      <w:r>
        <w:rPr>
          <w:rFonts w:ascii="Arial" w:hAnsi="Arial" w:cs="Arial"/>
          <w:sz w:val="20"/>
          <w:szCs w:val="20"/>
          <w:lang w:val="en-US"/>
        </w:rPr>
        <w:t>2</w:t>
      </w:r>
      <w:r w:rsidR="00AE183D">
        <w:rPr>
          <w:rFonts w:ascii="Arial" w:hAnsi="Arial" w:cs="Arial"/>
          <w:sz w:val="20"/>
          <w:szCs w:val="20"/>
          <w:lang w:val="en-US"/>
        </w:rPr>
        <w:t>9</w:t>
      </w:r>
      <w:r w:rsidR="00AE183D">
        <w:rPr>
          <w:rFonts w:ascii="Arial" w:hAnsi="Arial" w:cs="Arial"/>
          <w:sz w:val="20"/>
          <w:szCs w:val="20"/>
          <w:vertAlign w:val="superscript"/>
          <w:lang w:val="en-US"/>
        </w:rPr>
        <w:t>th</w:t>
      </w:r>
      <w:r w:rsidRPr="00740CC0">
        <w:rPr>
          <w:rFonts w:ascii="Arial" w:hAnsi="Arial" w:cs="Arial"/>
          <w:sz w:val="20"/>
          <w:szCs w:val="20"/>
          <w:lang w:val="en-US"/>
        </w:rPr>
        <w:t xml:space="preserve"> June 2026, from 7.30 am CET at: </w:t>
      </w:r>
      <w:hyperlink r:id="rId11" w:history="1">
        <w:r w:rsidRPr="00740CC0">
          <w:rPr>
            <w:rStyle w:val="Hyperlink"/>
            <w:rFonts w:ascii="Arial" w:hAnsi="Arial" w:cs="Arial"/>
            <w:b/>
            <w:bCs/>
            <w:sz w:val="20"/>
            <w:szCs w:val="20"/>
            <w:shd w:val="clear" w:color="auto" w:fill="FFFFFF"/>
            <w:lang w:val="en-US"/>
          </w:rPr>
          <w:t>https://scilog.fwf.ac.at</w:t>
        </w:r>
      </w:hyperlink>
    </w:p>
    <w:tbl>
      <w:tblPr>
        <w:tblW w:w="12048" w:type="dxa"/>
        <w:tblCellMar>
          <w:left w:w="70" w:type="dxa"/>
          <w:right w:w="70" w:type="dxa"/>
        </w:tblCellMar>
        <w:tblLook w:val="04A0" w:firstRow="1" w:lastRow="0" w:firstColumn="1" w:lastColumn="0" w:noHBand="0" w:noVBand="1"/>
      </w:tblPr>
      <w:tblGrid>
        <w:gridCol w:w="5457"/>
        <w:gridCol w:w="3544"/>
        <w:gridCol w:w="3047"/>
      </w:tblGrid>
      <w:tr w:rsidR="00737AC8" w:rsidRPr="00DC4D29" w14:paraId="66C46A93" w14:textId="77777777" w:rsidTr="004335F3">
        <w:tc>
          <w:tcPr>
            <w:tcW w:w="5457" w:type="dxa"/>
          </w:tcPr>
          <w:p w14:paraId="40F470E1" w14:textId="77777777" w:rsidR="00737AC8" w:rsidRPr="006B3E10" w:rsidRDefault="00737AC8" w:rsidP="004335F3">
            <w:pPr>
              <w:pStyle w:val="NurText"/>
              <w:spacing w:line="276" w:lineRule="auto"/>
              <w:ind w:left="567" w:right="139"/>
              <w:rPr>
                <w:rFonts w:ascii="Arial" w:hAnsi="Arial"/>
                <w:b/>
                <w:bCs/>
                <w:sz w:val="18"/>
                <w:szCs w:val="18"/>
                <w:lang w:val="en-US"/>
              </w:rPr>
            </w:pPr>
          </w:p>
          <w:p w14:paraId="1684970B" w14:textId="59A4350D" w:rsidR="00737AC8" w:rsidRDefault="00737AC8" w:rsidP="00737AC8">
            <w:pPr>
              <w:pStyle w:val="NurText"/>
              <w:spacing w:line="276" w:lineRule="auto"/>
              <w:ind w:left="284" w:right="139"/>
              <w:rPr>
                <w:rFonts w:ascii="Arial" w:hAnsi="Arial" w:cs="Arial"/>
                <w:sz w:val="18"/>
                <w:szCs w:val="18"/>
              </w:rPr>
            </w:pPr>
            <w:r w:rsidRPr="00550FF2">
              <w:rPr>
                <w:rFonts w:ascii="Arial" w:hAnsi="Arial"/>
                <w:b/>
                <w:bCs/>
                <w:sz w:val="18"/>
                <w:szCs w:val="18"/>
                <w:lang w:val="en-US"/>
              </w:rPr>
              <w:t>Scientific Contact</w:t>
            </w:r>
            <w:r w:rsidRPr="00550FF2">
              <w:rPr>
                <w:rFonts w:ascii="Arial" w:hAnsi="Arial"/>
                <w:b/>
                <w:bCs/>
                <w:sz w:val="18"/>
                <w:szCs w:val="18"/>
                <w:lang w:val="en-US"/>
              </w:rPr>
              <w:br/>
            </w:r>
            <w:r>
              <w:rPr>
                <w:rFonts w:ascii="Arial" w:hAnsi="Arial" w:cs="Arial"/>
                <w:sz w:val="18"/>
                <w:szCs w:val="18"/>
              </w:rPr>
              <w:t>Professor</w:t>
            </w:r>
            <w:r w:rsidRPr="00022F2D">
              <w:rPr>
                <w:rFonts w:ascii="Arial" w:hAnsi="Arial" w:cs="Arial"/>
                <w:sz w:val="18"/>
                <w:szCs w:val="18"/>
              </w:rPr>
              <w:t xml:space="preserve"> Alexandra Schwell</w:t>
            </w:r>
          </w:p>
          <w:p w14:paraId="77A332D2" w14:textId="4ECF8B10" w:rsidR="00737AC8" w:rsidRPr="00887DF2" w:rsidRDefault="00887DF2" w:rsidP="00737AC8">
            <w:pPr>
              <w:pStyle w:val="NurText"/>
              <w:spacing w:line="276" w:lineRule="auto"/>
              <w:ind w:left="284" w:right="139"/>
              <w:rPr>
                <w:rFonts w:ascii="Arial" w:hAnsi="Arial" w:cs="Arial"/>
                <w:sz w:val="18"/>
                <w:szCs w:val="18"/>
                <w:lang w:val="en-US"/>
              </w:rPr>
            </w:pPr>
            <w:r w:rsidRPr="00887DF2">
              <w:rPr>
                <w:rFonts w:ascii="Arial" w:hAnsi="Arial" w:cs="Arial"/>
                <w:sz w:val="18"/>
                <w:szCs w:val="18"/>
                <w:lang w:val="en-US"/>
              </w:rPr>
              <w:t>E</w:t>
            </w:r>
            <w:r>
              <w:rPr>
                <w:rFonts w:ascii="Arial" w:hAnsi="Arial" w:cs="Arial"/>
                <w:sz w:val="18"/>
                <w:szCs w:val="18"/>
                <w:lang w:val="en-US"/>
              </w:rPr>
              <w:t>mpirical Cultural Studies</w:t>
            </w:r>
          </w:p>
          <w:p w14:paraId="4AE19A79" w14:textId="0C0699FD" w:rsidR="00737AC8" w:rsidRPr="00574C8B" w:rsidRDefault="00737AC8" w:rsidP="00737AC8">
            <w:pPr>
              <w:pStyle w:val="NurText"/>
              <w:spacing w:line="276" w:lineRule="auto"/>
              <w:ind w:left="284" w:right="139"/>
              <w:rPr>
                <w:rFonts w:ascii="Arial" w:hAnsi="Arial" w:cs="Arial"/>
                <w:sz w:val="18"/>
                <w:szCs w:val="18"/>
                <w:lang w:val="de-DE"/>
              </w:rPr>
            </w:pPr>
            <w:r w:rsidRPr="00574C8B">
              <w:rPr>
                <w:rFonts w:ascii="Arial" w:hAnsi="Arial" w:cs="Arial"/>
                <w:sz w:val="18"/>
                <w:szCs w:val="18"/>
                <w:lang w:val="de-DE"/>
              </w:rPr>
              <w:t xml:space="preserve">University </w:t>
            </w:r>
            <w:proofErr w:type="spellStart"/>
            <w:r w:rsidRPr="00574C8B">
              <w:rPr>
                <w:rFonts w:ascii="Arial" w:hAnsi="Arial" w:cs="Arial"/>
                <w:sz w:val="18"/>
                <w:szCs w:val="18"/>
                <w:lang w:val="de-DE"/>
              </w:rPr>
              <w:t>of</w:t>
            </w:r>
            <w:proofErr w:type="spellEnd"/>
            <w:r w:rsidRPr="00574C8B">
              <w:rPr>
                <w:rFonts w:ascii="Arial" w:hAnsi="Arial" w:cs="Arial"/>
                <w:sz w:val="18"/>
                <w:szCs w:val="18"/>
                <w:lang w:val="de-DE"/>
              </w:rPr>
              <w:t xml:space="preserve"> Klagenfurt</w:t>
            </w:r>
          </w:p>
          <w:p w14:paraId="4BEFFB48" w14:textId="77777777" w:rsidR="00737AC8" w:rsidRPr="00737AC8" w:rsidRDefault="00737AC8" w:rsidP="00737AC8">
            <w:pPr>
              <w:pStyle w:val="NurText"/>
              <w:spacing w:line="276" w:lineRule="auto"/>
              <w:ind w:left="284" w:right="139"/>
              <w:rPr>
                <w:rFonts w:ascii="Arial" w:hAnsi="Arial" w:cs="Arial"/>
                <w:sz w:val="18"/>
                <w:szCs w:val="18"/>
                <w:lang w:val="de-DE"/>
              </w:rPr>
            </w:pPr>
            <w:r w:rsidRPr="00737AC8">
              <w:rPr>
                <w:rFonts w:ascii="Arial" w:hAnsi="Arial" w:cs="Arial"/>
                <w:sz w:val="18"/>
                <w:szCs w:val="18"/>
                <w:lang w:val="de-DE"/>
              </w:rPr>
              <w:t>Universitätsstraße 65-67</w:t>
            </w:r>
          </w:p>
          <w:p w14:paraId="5087E580" w14:textId="0C102357" w:rsidR="00737AC8" w:rsidRPr="00737AC8" w:rsidRDefault="00737AC8" w:rsidP="00737AC8">
            <w:pPr>
              <w:pStyle w:val="NurText"/>
              <w:spacing w:line="276" w:lineRule="auto"/>
              <w:ind w:left="284" w:right="139"/>
              <w:rPr>
                <w:rFonts w:ascii="Arial" w:hAnsi="Arial" w:cs="Arial"/>
                <w:sz w:val="18"/>
                <w:szCs w:val="18"/>
                <w:lang w:val="de-DE"/>
              </w:rPr>
            </w:pPr>
            <w:r w:rsidRPr="00737AC8">
              <w:rPr>
                <w:rFonts w:ascii="Arial" w:hAnsi="Arial" w:cs="Arial"/>
                <w:sz w:val="18"/>
                <w:szCs w:val="18"/>
                <w:lang w:val="de-DE"/>
              </w:rPr>
              <w:t>9020 Klagenfurt</w:t>
            </w:r>
            <w:r>
              <w:rPr>
                <w:rFonts w:ascii="Arial" w:hAnsi="Arial" w:cs="Arial"/>
                <w:sz w:val="18"/>
                <w:szCs w:val="18"/>
                <w:lang w:val="de-DE"/>
              </w:rPr>
              <w:t>, Austria</w:t>
            </w:r>
          </w:p>
          <w:p w14:paraId="087C525E" w14:textId="77777777" w:rsidR="00737AC8" w:rsidRPr="00737AC8" w:rsidRDefault="00737AC8" w:rsidP="00737AC8">
            <w:pPr>
              <w:pStyle w:val="NurText"/>
              <w:spacing w:line="276" w:lineRule="auto"/>
              <w:ind w:left="284" w:right="139"/>
              <w:rPr>
                <w:rFonts w:ascii="Arial" w:hAnsi="Arial" w:cs="Arial"/>
                <w:sz w:val="18"/>
                <w:szCs w:val="18"/>
                <w:lang w:val="de-DE"/>
              </w:rPr>
            </w:pPr>
            <w:r w:rsidRPr="00737AC8">
              <w:rPr>
                <w:rFonts w:ascii="Arial" w:hAnsi="Arial" w:cs="Arial"/>
                <w:sz w:val="18"/>
                <w:szCs w:val="18"/>
                <w:lang w:val="de-DE"/>
              </w:rPr>
              <w:t>T +43 463 2700 2016</w:t>
            </w:r>
          </w:p>
          <w:p w14:paraId="2470A516" w14:textId="77777777" w:rsidR="00737AC8" w:rsidRPr="00022F2D" w:rsidRDefault="00DC4D29" w:rsidP="00737AC8">
            <w:pPr>
              <w:ind w:left="284" w:right="139"/>
              <w:rPr>
                <w:rFonts w:ascii="Arial" w:hAnsi="Arial" w:cs="Arial"/>
                <w:color w:val="0000FF"/>
                <w:sz w:val="18"/>
                <w:szCs w:val="18"/>
                <w:u w:val="single"/>
              </w:rPr>
            </w:pPr>
            <w:hyperlink r:id="rId12" w:history="1">
              <w:r w:rsidR="00737AC8" w:rsidRPr="00022F2D">
                <w:rPr>
                  <w:rStyle w:val="Hyperlink"/>
                  <w:rFonts w:ascii="Arial" w:hAnsi="Arial" w:cs="Arial"/>
                  <w:sz w:val="18"/>
                  <w:szCs w:val="18"/>
                </w:rPr>
                <w:t>alexandra.schwell@aau.at</w:t>
              </w:r>
            </w:hyperlink>
            <w:r w:rsidR="00737AC8">
              <w:rPr>
                <w:rStyle w:val="Hyperlink"/>
                <w:rFonts w:ascii="Arial" w:hAnsi="Arial" w:cs="Arial"/>
                <w:sz w:val="18"/>
                <w:szCs w:val="18"/>
              </w:rPr>
              <w:br/>
            </w:r>
            <w:hyperlink r:id="rId13" w:history="1">
              <w:r w:rsidR="00737AC8" w:rsidRPr="00022F2D">
                <w:rPr>
                  <w:rStyle w:val="Hyperlink"/>
                  <w:rFonts w:ascii="Arial" w:hAnsi="Arial" w:cs="Arial"/>
                  <w:sz w:val="18"/>
                  <w:szCs w:val="18"/>
                </w:rPr>
                <w:t>https://www.aau.at/</w:t>
              </w:r>
            </w:hyperlink>
            <w:r w:rsidR="00737AC8">
              <w:rPr>
                <w:rFonts w:ascii="Arial" w:hAnsi="Arial" w:cs="Arial"/>
                <w:sz w:val="18"/>
                <w:szCs w:val="18"/>
              </w:rPr>
              <w:t xml:space="preserve"> </w:t>
            </w:r>
          </w:p>
          <w:p w14:paraId="2322259E" w14:textId="1079F4AB" w:rsidR="00737AC8" w:rsidRPr="00737AC8" w:rsidRDefault="00737AC8" w:rsidP="004335F3">
            <w:pPr>
              <w:ind w:left="284"/>
              <w:rPr>
                <w:color w:val="0563C1"/>
                <w:sz w:val="18"/>
                <w:szCs w:val="18"/>
                <w:u w:val="single"/>
              </w:rPr>
            </w:pPr>
          </w:p>
        </w:tc>
        <w:tc>
          <w:tcPr>
            <w:tcW w:w="3544" w:type="dxa"/>
          </w:tcPr>
          <w:p w14:paraId="7009EDE5" w14:textId="77777777" w:rsidR="00737AC8" w:rsidRPr="00737AC8" w:rsidRDefault="00737AC8" w:rsidP="004335F3">
            <w:pPr>
              <w:pStyle w:val="NurText"/>
              <w:spacing w:line="276" w:lineRule="auto"/>
              <w:ind w:left="567" w:right="139"/>
              <w:rPr>
                <w:rFonts w:ascii="Arial" w:hAnsi="Arial"/>
                <w:b/>
                <w:bCs/>
                <w:sz w:val="18"/>
                <w:szCs w:val="18"/>
                <w:lang w:val="de-DE"/>
              </w:rPr>
            </w:pPr>
          </w:p>
          <w:p w14:paraId="47F85FAE" w14:textId="77777777" w:rsidR="00737AC8" w:rsidRPr="00740CC0" w:rsidRDefault="00737AC8" w:rsidP="004335F3">
            <w:pPr>
              <w:ind w:right="140"/>
              <w:rPr>
                <w:rFonts w:ascii="Arial" w:hAnsi="Arial" w:cs="Arial"/>
                <w:b/>
                <w:bCs/>
                <w:sz w:val="18"/>
                <w:szCs w:val="18"/>
                <w:lang w:val="en-US" w:eastAsia="de-AT"/>
              </w:rPr>
            </w:pPr>
            <w:r w:rsidRPr="00740CC0">
              <w:rPr>
                <w:rFonts w:ascii="Arial" w:hAnsi="Arial" w:cs="Arial"/>
                <w:b/>
                <w:bCs/>
                <w:sz w:val="18"/>
                <w:szCs w:val="18"/>
                <w:lang w:val="en-US"/>
              </w:rPr>
              <w:t>Austrian Science Fund FWF</w:t>
            </w:r>
            <w:r w:rsidRPr="00740CC0">
              <w:rPr>
                <w:rFonts w:ascii="Arial" w:hAnsi="Arial" w:cs="Arial"/>
                <w:b/>
                <w:bCs/>
                <w:sz w:val="18"/>
                <w:szCs w:val="18"/>
                <w:lang w:val="en-US"/>
              </w:rPr>
              <w:br/>
            </w:r>
            <w:r w:rsidRPr="00740CC0">
              <w:rPr>
                <w:rFonts w:ascii="Arial" w:hAnsi="Arial" w:cs="Arial"/>
                <w:sz w:val="18"/>
                <w:szCs w:val="18"/>
                <w:lang w:val="en-US"/>
              </w:rPr>
              <w:t>Ingrid Ladner</w:t>
            </w:r>
            <w:r w:rsidRPr="00740CC0">
              <w:rPr>
                <w:rFonts w:ascii="Arial" w:hAnsi="Arial" w:cs="Arial"/>
                <w:sz w:val="18"/>
                <w:szCs w:val="18"/>
                <w:lang w:val="en-US"/>
              </w:rPr>
              <w:br/>
              <w:t>Editor scilog</w:t>
            </w:r>
            <w:r w:rsidRPr="00740CC0">
              <w:rPr>
                <w:rFonts w:ascii="Arial" w:hAnsi="Arial" w:cs="Arial"/>
                <w:sz w:val="18"/>
                <w:szCs w:val="18"/>
                <w:lang w:val="en-US"/>
              </w:rPr>
              <w:br/>
              <w:t xml:space="preserve">Georg-Coch-Platz 2 </w:t>
            </w:r>
            <w:r w:rsidRPr="00740CC0">
              <w:rPr>
                <w:rFonts w:ascii="Arial" w:hAnsi="Arial" w:cs="Arial"/>
                <w:sz w:val="18"/>
                <w:szCs w:val="18"/>
                <w:lang w:val="en-US"/>
              </w:rPr>
              <w:br/>
              <w:t>1010 Vienna, Austria</w:t>
            </w:r>
            <w:r w:rsidRPr="00740CC0">
              <w:rPr>
                <w:rFonts w:ascii="Arial" w:hAnsi="Arial" w:cs="Arial"/>
                <w:sz w:val="18"/>
                <w:szCs w:val="18"/>
                <w:lang w:val="en-US"/>
              </w:rPr>
              <w:br/>
              <w:t xml:space="preserve">T </w:t>
            </w:r>
            <w:r w:rsidRPr="00740CC0">
              <w:rPr>
                <w:rFonts w:ascii="Arial" w:hAnsi="Arial" w:cs="Arial"/>
                <w:noProof/>
                <w:sz w:val="18"/>
                <w:szCs w:val="18"/>
                <w:lang w:val="en-US"/>
              </w:rPr>
              <w:t>+43 676 83487-8117</w:t>
            </w:r>
            <w:r w:rsidRPr="00740CC0">
              <w:rPr>
                <w:rFonts w:ascii="Arial" w:hAnsi="Arial" w:cs="Arial"/>
                <w:noProof/>
                <w:sz w:val="18"/>
                <w:szCs w:val="18"/>
                <w:lang w:val="en-US"/>
              </w:rPr>
              <w:br/>
            </w:r>
            <w:hyperlink r:id="rId14" w:history="1">
              <w:r w:rsidRPr="00740CC0">
                <w:rPr>
                  <w:rStyle w:val="Hyperlink"/>
                  <w:rFonts w:ascii="Arial" w:hAnsi="Arial" w:cs="Arial"/>
                  <w:sz w:val="18"/>
                  <w:szCs w:val="18"/>
                  <w:shd w:val="clear" w:color="auto" w:fill="FFFFFF"/>
                  <w:lang w:val="en-US"/>
                </w:rPr>
                <w:t>ingrid.ladner@fwf.ac.at</w:t>
              </w:r>
            </w:hyperlink>
            <w:r w:rsidRPr="00740CC0">
              <w:rPr>
                <w:rStyle w:val="Hyperlink"/>
                <w:rFonts w:ascii="Arial" w:hAnsi="Arial" w:cs="Arial"/>
                <w:sz w:val="18"/>
                <w:szCs w:val="18"/>
                <w:shd w:val="clear" w:color="auto" w:fill="FFFFFF"/>
                <w:lang w:val="en-US"/>
              </w:rPr>
              <w:t xml:space="preserve"> </w:t>
            </w:r>
            <w:hyperlink r:id="rId15">
              <w:r w:rsidRPr="00740CC0">
                <w:rPr>
                  <w:rStyle w:val="Hyperlink"/>
                  <w:rFonts w:ascii="Arial" w:hAnsi="Arial" w:cs="Arial"/>
                  <w:sz w:val="18"/>
                  <w:szCs w:val="18"/>
                  <w:shd w:val="clear" w:color="auto" w:fill="FFFFFF"/>
                  <w:lang w:val="en-US"/>
                </w:rPr>
                <w:t>https://scilog.fwf.ac.at</w:t>
              </w:r>
            </w:hyperlink>
            <w:r w:rsidRPr="00740CC0">
              <w:rPr>
                <w:rStyle w:val="Hyperlink"/>
                <w:rFonts w:ascii="Arial" w:hAnsi="Arial" w:cs="Arial"/>
                <w:sz w:val="18"/>
                <w:szCs w:val="18"/>
                <w:shd w:val="clear" w:color="auto" w:fill="FFFFFF"/>
                <w:lang w:val="en-US"/>
              </w:rPr>
              <w:br/>
            </w:r>
            <w:r w:rsidRPr="00740CC0">
              <w:rPr>
                <w:rStyle w:val="Hyperlink"/>
                <w:rFonts w:ascii="Arial" w:hAnsi="Arial" w:cs="Arial"/>
                <w:sz w:val="18"/>
                <w:szCs w:val="18"/>
                <w:lang w:val="en-US"/>
              </w:rPr>
              <w:t xml:space="preserve">Follow us @ </w:t>
            </w:r>
            <w:hyperlink r:id="rId16" w:history="1">
              <w:r w:rsidRPr="00740CC0">
                <w:rPr>
                  <w:rStyle w:val="Hyperlink"/>
                  <w:rFonts w:ascii="Arial" w:hAnsi="Arial" w:cs="Arial"/>
                  <w:sz w:val="18"/>
                  <w:szCs w:val="18"/>
                  <w:lang w:val="en-US"/>
                </w:rPr>
                <w:t>Social Media</w:t>
              </w:r>
            </w:hyperlink>
          </w:p>
        </w:tc>
        <w:tc>
          <w:tcPr>
            <w:tcW w:w="3047" w:type="dxa"/>
          </w:tcPr>
          <w:p w14:paraId="1E7B68DC" w14:textId="77777777" w:rsidR="00737AC8" w:rsidRPr="005623DD" w:rsidRDefault="00737AC8" w:rsidP="004335F3">
            <w:pPr>
              <w:ind w:right="140"/>
              <w:rPr>
                <w:sz w:val="18"/>
                <w:szCs w:val="18"/>
                <w:lang w:val="it-IT"/>
              </w:rPr>
            </w:pPr>
          </w:p>
          <w:p w14:paraId="7F7280CE" w14:textId="77777777" w:rsidR="00737AC8" w:rsidRPr="005623DD" w:rsidRDefault="00737AC8" w:rsidP="004335F3">
            <w:pPr>
              <w:ind w:right="140"/>
              <w:rPr>
                <w:sz w:val="18"/>
                <w:szCs w:val="18"/>
                <w:lang w:val="it-IT" w:eastAsia="de-AT"/>
              </w:rPr>
            </w:pPr>
            <w:r w:rsidRPr="005623DD">
              <w:rPr>
                <w:sz w:val="18"/>
                <w:szCs w:val="18"/>
                <w:lang w:val="it-IT"/>
              </w:rPr>
              <w:t xml:space="preserve"> </w:t>
            </w:r>
          </w:p>
        </w:tc>
      </w:tr>
    </w:tbl>
    <w:p w14:paraId="2116EE83" w14:textId="77777777" w:rsidR="00737AC8" w:rsidRPr="00737AC8" w:rsidRDefault="00737AC8">
      <w:pPr>
        <w:pStyle w:val="StandardWeb1"/>
        <w:spacing w:line="276" w:lineRule="auto"/>
        <w:rPr>
          <w:lang w:val="en-US"/>
        </w:rPr>
      </w:pPr>
    </w:p>
    <w:sectPr w:rsidR="00737AC8" w:rsidRPr="00737AC8">
      <w:headerReference w:type="default" r:id="rId17"/>
      <w:pgSz w:w="11906" w:h="16838"/>
      <w:pgMar w:top="1417" w:right="1417" w:bottom="1134" w:left="1417"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2A19" w14:textId="77777777" w:rsidR="00737AC8" w:rsidRDefault="00737AC8" w:rsidP="00737AC8">
      <w:pPr>
        <w:spacing w:after="0" w:line="240" w:lineRule="auto"/>
      </w:pPr>
      <w:r>
        <w:separator/>
      </w:r>
    </w:p>
  </w:endnote>
  <w:endnote w:type="continuationSeparator" w:id="0">
    <w:p w14:paraId="1C4BD2A1" w14:textId="77777777" w:rsidR="00737AC8" w:rsidRDefault="00737AC8" w:rsidP="0073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64">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03BF" w14:textId="77777777" w:rsidR="00737AC8" w:rsidRDefault="00737AC8" w:rsidP="00737AC8">
      <w:pPr>
        <w:spacing w:after="0" w:line="240" w:lineRule="auto"/>
      </w:pPr>
      <w:r>
        <w:separator/>
      </w:r>
    </w:p>
  </w:footnote>
  <w:footnote w:type="continuationSeparator" w:id="0">
    <w:p w14:paraId="72A8CEF6" w14:textId="77777777" w:rsidR="00737AC8" w:rsidRDefault="00737AC8" w:rsidP="00737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8C7D" w14:textId="201398F3" w:rsidR="00737AC8" w:rsidRDefault="00737AC8" w:rsidP="00737AC8">
    <w:pPr>
      <w:pStyle w:val="Kopfzeile"/>
      <w:tabs>
        <w:tab w:val="clear" w:pos="9072"/>
      </w:tabs>
      <w:ind w:right="-567"/>
      <w:jc w:val="right"/>
    </w:pPr>
    <w:r w:rsidRPr="004E7EE8">
      <w:rPr>
        <w:noProof/>
      </w:rPr>
      <w:drawing>
        <wp:inline distT="0" distB="0" distL="0" distR="0" wp14:anchorId="2ADF53F5" wp14:editId="54A4A1E3">
          <wp:extent cx="1571625" cy="2381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p>
  <w:p w14:paraId="59B98693" w14:textId="77777777" w:rsidR="00737AC8" w:rsidRDefault="00737AC8" w:rsidP="00737AC8">
    <w:pPr>
      <w:pStyle w:val="Kopfzeile"/>
      <w:tabs>
        <w:tab w:val="clear" w:pos="9072"/>
      </w:tabs>
      <w:ind w:right="-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7864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F7E"/>
    <w:rsid w:val="001F0F7E"/>
    <w:rsid w:val="004E49F3"/>
    <w:rsid w:val="00567CBF"/>
    <w:rsid w:val="00574C8B"/>
    <w:rsid w:val="005C6578"/>
    <w:rsid w:val="00737AC8"/>
    <w:rsid w:val="00887DF2"/>
    <w:rsid w:val="00AE183D"/>
    <w:rsid w:val="00DC4D29"/>
    <w:rsid w:val="00F72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D01067"/>
  <w15:docId w15:val="{CE478151-E8A5-4346-BB4B-7ACBD8DE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160" w:line="256" w:lineRule="auto"/>
    </w:pPr>
    <w:rPr>
      <w:rFonts w:ascii="Calibri" w:eastAsia="SimSun" w:hAnsi="Calibri" w:cs="font264"/>
      <w:kern w:val="1"/>
      <w:sz w:val="22"/>
      <w:szCs w:val="22"/>
      <w:lang w:val="de-AT" w:eastAsia="ar-SA"/>
    </w:rPr>
  </w:style>
  <w:style w:type="paragraph" w:styleId="berschrift1">
    <w:name w:val="heading 1"/>
    <w:basedOn w:val="Standard"/>
    <w:next w:val="Textkrper"/>
    <w:qFormat/>
    <w:pPr>
      <w:numPr>
        <w:numId w:val="1"/>
      </w:numPr>
      <w:spacing w:before="100" w:after="100" w:line="100" w:lineRule="atLeast"/>
      <w:outlineLvl w:val="0"/>
    </w:pPr>
    <w:rPr>
      <w:rFonts w:ascii="Times New Roman" w:eastAsia="Times New Roman" w:hAnsi="Times New Roman" w:cs="Times New Roman"/>
      <w:b/>
      <w:bCs/>
      <w:sz w:val="48"/>
      <w:szCs w:val="48"/>
    </w:rPr>
  </w:style>
  <w:style w:type="paragraph" w:styleId="berschrift2">
    <w:name w:val="heading 2"/>
    <w:basedOn w:val="Standard"/>
    <w:next w:val="Textkrper"/>
    <w:qFormat/>
    <w:pPr>
      <w:keepNext/>
      <w:keepLines/>
      <w:numPr>
        <w:ilvl w:val="1"/>
        <w:numId w:val="1"/>
      </w:numPr>
      <w:spacing w:before="40" w:after="0"/>
      <w:outlineLvl w:val="1"/>
    </w:pPr>
    <w:rPr>
      <w:rFonts w:ascii="Calibri Light" w:hAnsi="Calibri Light"/>
      <w:color w:val="2E74B5"/>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NurTextZchn">
    <w:name w:val="Nur Text Zchn"/>
    <w:basedOn w:val="Absatz-Standardschriftart1"/>
    <w:link w:val="NurText"/>
    <w:uiPriority w:val="99"/>
    <w:qFormat/>
    <w:rPr>
      <w:rFonts w:ascii="Calibri" w:hAnsi="Calibri" w:cs="Calibri"/>
      <w:szCs w:val="21"/>
    </w:rPr>
  </w:style>
  <w:style w:type="character" w:styleId="Hyperlink">
    <w:name w:val="Hyperlink"/>
    <w:uiPriority w:val="99"/>
    <w:rPr>
      <w:color w:val="0000FF"/>
      <w:u w:val="single"/>
    </w:rPr>
  </w:style>
  <w:style w:type="character" w:customStyle="1" w:styleId="berschrift1Zchn">
    <w:name w:val="Überschrift 1 Zchn"/>
    <w:basedOn w:val="Absatz-Standardschriftart1"/>
    <w:rPr>
      <w:rFonts w:ascii="Times New Roman" w:eastAsia="Times New Roman" w:hAnsi="Times New Roman" w:cs="Times New Roman"/>
      <w:b/>
      <w:bCs/>
      <w:kern w:val="1"/>
      <w:sz w:val="48"/>
      <w:szCs w:val="48"/>
    </w:rPr>
  </w:style>
  <w:style w:type="character" w:customStyle="1" w:styleId="berschrift2Zchn">
    <w:name w:val="Überschrift 2 Zchn"/>
    <w:basedOn w:val="Absatz-Standardschriftart1"/>
    <w:rPr>
      <w:rFonts w:ascii="Calibri Light" w:hAnsi="Calibri Light" w:cs="font264"/>
      <w:color w:val="2E74B5"/>
      <w:sz w:val="26"/>
      <w:szCs w:val="26"/>
    </w:rPr>
  </w:style>
  <w:style w:type="character" w:customStyle="1" w:styleId="Kommentarzeichen1">
    <w:name w:val="Kommentarzeichen1"/>
    <w:basedOn w:val="Absatz-Standardschriftart1"/>
    <w:rPr>
      <w:sz w:val="16"/>
      <w:szCs w:val="16"/>
    </w:rPr>
  </w:style>
  <w:style w:type="character" w:customStyle="1" w:styleId="KommentartextZchn">
    <w:name w:val="Kommentartext Zchn"/>
    <w:basedOn w:val="Absatz-Standardschriftart1"/>
    <w:rPr>
      <w:sz w:val="20"/>
      <w:szCs w:val="20"/>
    </w:rPr>
  </w:style>
  <w:style w:type="character" w:customStyle="1" w:styleId="KommentarthemaZchn">
    <w:name w:val="Kommentarthema Zchn"/>
    <w:basedOn w:val="KommentartextZchn"/>
    <w:rPr>
      <w:b/>
      <w:bCs/>
      <w:sz w:val="20"/>
      <w:szCs w:val="20"/>
    </w:rPr>
  </w:style>
  <w:style w:type="character" w:customStyle="1" w:styleId="SprechblasentextZchn">
    <w:name w:val="Sprechblasentext Zchn"/>
    <w:basedOn w:val="Absatz-Standardschriftart1"/>
    <w:rPr>
      <w:rFonts w:ascii="Segoe UI" w:hAnsi="Segoe UI" w:cs="Segoe UI"/>
      <w:sz w:val="18"/>
      <w:szCs w:val="18"/>
    </w:rPr>
  </w:style>
  <w:style w:type="character" w:styleId="Fett">
    <w:name w:val="Strong"/>
    <w:basedOn w:val="Absatz-Standardschriftart1"/>
    <w:qFormat/>
    <w:rPr>
      <w:b/>
      <w:bCs/>
    </w:rPr>
  </w:style>
  <w:style w:type="character" w:customStyle="1" w:styleId="NichtaufgelsteErwhnung1">
    <w:name w:val="Nicht aufgelöste Erwähnung1"/>
    <w:basedOn w:val="Absatz-Standardschriftart1"/>
    <w:rPr>
      <w:color w:val="605E5C"/>
    </w:rPr>
  </w:style>
  <w:style w:type="character" w:customStyle="1" w:styleId="BesuchterLink1">
    <w:name w:val="BesuchterLink1"/>
    <w:basedOn w:val="Absatz-Standardschriftart1"/>
    <w:rPr>
      <w:color w:val="954F72"/>
      <w:u w:val="single"/>
    </w:rPr>
  </w:style>
  <w:style w:type="character" w:customStyle="1" w:styleId="ListLabel1">
    <w:name w:val="ListLabel 1"/>
    <w:rPr>
      <w:sz w:val="20"/>
    </w:rPr>
  </w:style>
  <w:style w:type="character" w:customStyle="1" w:styleId="ListLabel2">
    <w:name w:val="ListLabel 2"/>
    <w:rPr>
      <w:rFonts w:cs="Times New Roman"/>
      <w:sz w:val="20"/>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NurText1">
    <w:name w:val="Nur Text1"/>
    <w:basedOn w:val="Standard"/>
    <w:pPr>
      <w:spacing w:after="0" w:line="100" w:lineRule="atLeast"/>
    </w:pPr>
    <w:rPr>
      <w:rFonts w:cs="Calibri"/>
      <w:szCs w:val="21"/>
    </w:rPr>
  </w:style>
  <w:style w:type="paragraph" w:customStyle="1" w:styleId="StandardWeb1">
    <w:name w:val="Standard (Web)1"/>
    <w:basedOn w:val="Standard"/>
    <w:pPr>
      <w:spacing w:before="100" w:after="100" w:line="100" w:lineRule="atLeast"/>
    </w:pPr>
    <w:rPr>
      <w:rFonts w:ascii="Times New Roman" w:hAnsi="Times New Roman" w:cs="Times New Roman"/>
      <w:sz w:val="24"/>
      <w:szCs w:val="24"/>
    </w:rPr>
  </w:style>
  <w:style w:type="paragraph" w:customStyle="1" w:styleId="berarbeitung1">
    <w:name w:val="Überarbeitung1"/>
    <w:pPr>
      <w:suppressAutoHyphens/>
      <w:spacing w:line="100" w:lineRule="atLeast"/>
    </w:pPr>
    <w:rPr>
      <w:rFonts w:ascii="Calibri" w:eastAsia="SimSun" w:hAnsi="Calibri" w:cs="font264"/>
      <w:kern w:val="1"/>
      <w:sz w:val="22"/>
      <w:szCs w:val="22"/>
      <w:lang w:val="de-AT" w:eastAsia="ar-SA"/>
    </w:rPr>
  </w:style>
  <w:style w:type="paragraph" w:customStyle="1" w:styleId="Kommentartext1">
    <w:name w:val="Kommentartext1"/>
    <w:basedOn w:val="Standard"/>
    <w:pPr>
      <w:spacing w:line="100" w:lineRule="atLeast"/>
    </w:pPr>
    <w:rPr>
      <w:sz w:val="20"/>
      <w:szCs w:val="20"/>
    </w:rPr>
  </w:style>
  <w:style w:type="paragraph" w:customStyle="1" w:styleId="Kommentarthema1">
    <w:name w:val="Kommentarthema1"/>
    <w:basedOn w:val="Kommentartext1"/>
    <w:rPr>
      <w:b/>
      <w:bCs/>
    </w:rPr>
  </w:style>
  <w:style w:type="paragraph" w:customStyle="1" w:styleId="Sprechblasentext1">
    <w:name w:val="Sprechblasentext1"/>
    <w:basedOn w:val="Standard"/>
    <w:pPr>
      <w:spacing w:after="0" w:line="100" w:lineRule="atLeast"/>
    </w:pPr>
    <w:rPr>
      <w:rFonts w:ascii="Segoe UI" w:hAnsi="Segoe UI" w:cs="Segoe UI"/>
      <w:sz w:val="18"/>
      <w:szCs w:val="18"/>
    </w:rPr>
  </w:style>
  <w:style w:type="paragraph" w:styleId="Kopfzeile">
    <w:name w:val="header"/>
    <w:basedOn w:val="Standard"/>
    <w:link w:val="KopfzeileZchn"/>
    <w:uiPriority w:val="99"/>
    <w:unhideWhenUsed/>
    <w:rsid w:val="00737A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7AC8"/>
    <w:rPr>
      <w:rFonts w:ascii="Calibri" w:eastAsia="SimSun" w:hAnsi="Calibri" w:cs="font264"/>
      <w:kern w:val="1"/>
      <w:sz w:val="22"/>
      <w:szCs w:val="22"/>
      <w:lang w:val="de-AT" w:eastAsia="ar-SA"/>
    </w:rPr>
  </w:style>
  <w:style w:type="paragraph" w:styleId="Fuzeile">
    <w:name w:val="footer"/>
    <w:basedOn w:val="Standard"/>
    <w:link w:val="FuzeileZchn"/>
    <w:uiPriority w:val="99"/>
    <w:unhideWhenUsed/>
    <w:rsid w:val="00737A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7AC8"/>
    <w:rPr>
      <w:rFonts w:ascii="Calibri" w:eastAsia="SimSun" w:hAnsi="Calibri" w:cs="font264"/>
      <w:kern w:val="1"/>
      <w:sz w:val="22"/>
      <w:szCs w:val="22"/>
      <w:lang w:val="de-AT" w:eastAsia="ar-SA"/>
    </w:rPr>
  </w:style>
  <w:style w:type="paragraph" w:styleId="NurText">
    <w:name w:val="Plain Text"/>
    <w:basedOn w:val="Standard"/>
    <w:link w:val="NurTextZchn"/>
    <w:uiPriority w:val="99"/>
    <w:unhideWhenUsed/>
    <w:qFormat/>
    <w:rsid w:val="00737AC8"/>
    <w:pPr>
      <w:suppressAutoHyphens w:val="0"/>
      <w:spacing w:after="0" w:line="240" w:lineRule="auto"/>
    </w:pPr>
    <w:rPr>
      <w:rFonts w:eastAsia="Times New Roman" w:cs="Calibri"/>
      <w:kern w:val="0"/>
      <w:sz w:val="20"/>
      <w:szCs w:val="21"/>
      <w:lang w:val="en-GB" w:eastAsia="en-GB"/>
    </w:rPr>
  </w:style>
  <w:style w:type="character" w:customStyle="1" w:styleId="NurTextZchn1">
    <w:name w:val="Nur Text Zchn1"/>
    <w:basedOn w:val="Absatz-Standardschriftart"/>
    <w:uiPriority w:val="99"/>
    <w:semiHidden/>
    <w:rsid w:val="00737AC8"/>
    <w:rPr>
      <w:rFonts w:ascii="Consolas" w:eastAsia="SimSun" w:hAnsi="Consolas" w:cs="font264"/>
      <w:kern w:val="1"/>
      <w:sz w:val="21"/>
      <w:szCs w:val="21"/>
      <w:lang w:val="de-AT" w:eastAsia="ar-SA"/>
    </w:rPr>
  </w:style>
  <w:style w:type="character" w:styleId="NichtaufgelsteErwhnung">
    <w:name w:val="Unresolved Mention"/>
    <w:basedOn w:val="Absatz-Standardschriftart"/>
    <w:uiPriority w:val="99"/>
    <w:semiHidden/>
    <w:unhideWhenUsed/>
    <w:rsid w:val="00737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urge.zrc-sazu.si/" TargetMode="External"/><Relationship Id="rId13" Type="http://schemas.openxmlformats.org/officeDocument/2006/relationships/hyperlink" Target="https://www.aau.a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wf.ac.at/en/research-radar/10.55776/I6607" TargetMode="External"/><Relationship Id="rId12" Type="http://schemas.openxmlformats.org/officeDocument/2006/relationships/hyperlink" Target="mailto:alexandra.schwell@aau.a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wf.ac.at/social-media-directo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log.fwf.ac.at" TargetMode="External"/><Relationship Id="rId5" Type="http://schemas.openxmlformats.org/officeDocument/2006/relationships/footnotes" Target="footnotes.xml"/><Relationship Id="rId15" Type="http://schemas.openxmlformats.org/officeDocument/2006/relationships/hyperlink" Target="https://scilog.fwf.ac.at/" TargetMode="External"/><Relationship Id="rId10" Type="http://schemas.openxmlformats.org/officeDocument/2006/relationships/hyperlink" Target="https://www.aau.at/wp-content/uploads/2025/12/Handlungsempfehlungen_Hitze_IfK_202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science/article/pii/S0264275125003269?via%3Dihub" TargetMode="External"/><Relationship Id="rId14" Type="http://schemas.openxmlformats.org/officeDocument/2006/relationships/hyperlink" Target="mailto:ingrid.ladner@fwf.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1423</Words>
  <Characters>8971</Characters>
  <Application>Microsoft Office Word</Application>
  <DocSecurity>0</DocSecurity>
  <Lines>74</Lines>
  <Paragraphs>20</Paragraphs>
  <ScaleCrop>false</ScaleCrop>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Microsoft-Konto</dc:creator>
  <cp:keywords>docId, FC67FD1BFC68A444545B0C68D60A720C</cp:keywords>
  <cp:lastModifiedBy>Ladner, Ingrid</cp:lastModifiedBy>
  <cp:revision>7</cp:revision>
  <cp:lastPrinted>1899-12-31T23:00:00Z</cp:lastPrinted>
  <dcterms:created xsi:type="dcterms:W3CDTF">2026-06-08T08:40:00Z</dcterms:created>
  <dcterms:modified xsi:type="dcterms:W3CDTF">2026-06-25T09:07:00Z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