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A83B16" w14:textId="167DAA9A" w:rsidR="00AF6267" w:rsidRPr="00567E2A" w:rsidRDefault="00554C41" w:rsidP="005F33AD">
      <w:pPr>
        <w:spacing w:after="0" w:line="283" w:lineRule="auto"/>
        <w:rPr>
          <w:b/>
          <w:bCs/>
          <w:color w:val="000000" w:themeColor="text1"/>
          <w:sz w:val="28"/>
          <w:szCs w:val="28"/>
        </w:rPr>
      </w:pPr>
      <w:r w:rsidRPr="00567E2A">
        <w:rPr>
          <w:b/>
          <w:bCs/>
          <w:noProof/>
          <w:color w:val="000000" w:themeColor="text1"/>
          <w:sz w:val="28"/>
          <w:szCs w:val="28"/>
        </w:rPr>
        <w:drawing>
          <wp:inline distT="0" distB="0" distL="0" distR="0" wp14:anchorId="4BA5F543" wp14:editId="38BEE7BA">
            <wp:extent cx="2416629" cy="1063668"/>
            <wp:effectExtent l="0" t="0" r="0" b="3175"/>
            <wp:docPr id="728381120" name="Grafik 1" descr="Ein Bild, das Schrift, Logo, Grafike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381120" name="Grafik 1" descr="Ein Bild, das Schrift, Logo, Grafiken, Text enthält.&#10;&#10;Automatisch generierte Beschreibu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94495" cy="1097940"/>
                    </a:xfrm>
                    <a:prstGeom prst="rect">
                      <a:avLst/>
                    </a:prstGeom>
                  </pic:spPr>
                </pic:pic>
              </a:graphicData>
            </a:graphic>
          </wp:inline>
        </w:drawing>
      </w:r>
      <w:r w:rsidRPr="00567E2A">
        <w:rPr>
          <w:b/>
          <w:bCs/>
          <w:color w:val="000000" w:themeColor="text1"/>
          <w:sz w:val="28"/>
          <w:szCs w:val="28"/>
        </w:rPr>
        <w:t xml:space="preserve">                                          </w:t>
      </w:r>
      <w:r w:rsidR="00AF6267" w:rsidRPr="00567E2A">
        <w:rPr>
          <w:b/>
          <w:bCs/>
          <w:color w:val="000000" w:themeColor="text1"/>
          <w:sz w:val="28"/>
          <w:szCs w:val="28"/>
        </w:rPr>
        <w:t xml:space="preserve">PRESSEMITTEILUNG </w:t>
      </w:r>
    </w:p>
    <w:p w14:paraId="02976225" w14:textId="77777777" w:rsidR="0041163B" w:rsidRPr="00567E2A" w:rsidRDefault="0041163B" w:rsidP="0041163B">
      <w:pPr>
        <w:spacing w:after="200"/>
        <w:rPr>
          <w:b/>
          <w:bCs/>
          <w:color w:val="000000" w:themeColor="text1"/>
          <w:sz w:val="30"/>
          <w:szCs w:val="30"/>
        </w:rPr>
      </w:pPr>
      <w:bookmarkStart w:id="0" w:name="OLE_LINK1"/>
    </w:p>
    <w:bookmarkEnd w:id="0"/>
    <w:p w14:paraId="404B3C28" w14:textId="2BD3721C" w:rsidR="00567E2A" w:rsidRPr="00567E2A" w:rsidRDefault="00567E2A" w:rsidP="00567E2A">
      <w:pPr>
        <w:pStyle w:val="berschrift1"/>
        <w:rPr>
          <w:rFonts w:asciiTheme="minorHAnsi" w:hAnsiTheme="minorHAnsi"/>
          <w:b/>
          <w:bCs/>
          <w:sz w:val="32"/>
          <w:szCs w:val="32"/>
        </w:rPr>
      </w:pPr>
      <w:r w:rsidRPr="00567E2A">
        <w:rPr>
          <w:rFonts w:asciiTheme="minorHAnsi" w:hAnsiTheme="minorHAnsi"/>
          <w:b/>
          <w:bCs/>
          <w:sz w:val="32"/>
          <w:szCs w:val="32"/>
        </w:rPr>
        <w:t>HISENSE UND GORENJE SETZEN SICH AN DIE NACHHALTIGKEITSSPITZE DER HAUSGERÄTEBRANCHE</w:t>
      </w:r>
    </w:p>
    <w:p w14:paraId="214F9084" w14:textId="5D341C43" w:rsidR="00567E2A" w:rsidRPr="00567E2A" w:rsidRDefault="00567E2A" w:rsidP="00567E2A">
      <w:pPr>
        <w:pStyle w:val="StandardWeb"/>
        <w:rPr>
          <w:rFonts w:asciiTheme="minorHAnsi" w:hAnsiTheme="minorHAnsi"/>
        </w:rPr>
      </w:pPr>
      <w:r w:rsidRPr="00567E2A">
        <w:rPr>
          <w:rStyle w:val="Fett"/>
          <w:rFonts w:asciiTheme="minorHAnsi" w:hAnsiTheme="minorHAnsi"/>
        </w:rPr>
        <w:t>Hisense und Gorenje sichern sich EcoVadis-Platin zum zweiten Mal in Folge: Mit 89 von 100 Punkten zählt Hisense Gorenje erneut zu den nachhaltigsten 1 Prozent der weltweit 150.000 bewerteten Unternehmen</w:t>
      </w:r>
    </w:p>
    <w:p w14:paraId="2DE7452C" w14:textId="77777777" w:rsidR="003F187D" w:rsidRPr="00567E2A" w:rsidRDefault="003F187D" w:rsidP="003F187D">
      <w:pPr>
        <w:spacing w:before="100" w:beforeAutospacing="1" w:after="100" w:afterAutospacing="1" w:line="240" w:lineRule="auto"/>
        <w:rPr>
          <w:rFonts w:eastAsia="Times New Roman" w:cs="Times New Roman"/>
          <w:kern w:val="0"/>
          <w:lang w:eastAsia="de-DE"/>
          <w14:ligatures w14:val="none"/>
        </w:rPr>
      </w:pPr>
      <w:r w:rsidRPr="00567E2A">
        <w:rPr>
          <w:rFonts w:eastAsia="Times New Roman" w:cs="Times New Roman"/>
          <w:i/>
          <w:iCs/>
          <w:kern w:val="0"/>
          <w:lang w:eastAsia="de-DE"/>
          <w14:ligatures w14:val="none"/>
        </w:rPr>
        <w:t>Wien, August 2026. Hisense wurde für seine europäischen Fertigungsaktivitäten – verantwortet von Gorenje gospodinjski aparati d.o.o. – zum zweiten Mal in Folge mit der höchsten Auszeichnung von EcoVadis, der Platin-Medaille, ausgezeichnet. Mit einer Gesamtpunktzahl von 89 von 100 Punkten, nach 87 im Vorjahr, zählt der Konzern damit erneut zu den nachhaltigsten 1 % von mehr als 150.000 weltweit bewerteten Unternehmen. In Österreich vertreibt die Hisense Gorenje Austria GmbH beide Marken – Hisense und Gorenje – aus einer Hand.</w:t>
      </w:r>
    </w:p>
    <w:p w14:paraId="1C557D82" w14:textId="77777777" w:rsidR="003F187D" w:rsidRPr="00567E2A" w:rsidRDefault="003F187D" w:rsidP="003F187D">
      <w:pPr>
        <w:spacing w:before="100" w:beforeAutospacing="1" w:after="100" w:afterAutospacing="1" w:line="240" w:lineRule="auto"/>
        <w:rPr>
          <w:rFonts w:eastAsia="Times New Roman" w:cs="Times New Roman"/>
          <w:kern w:val="0"/>
          <w:lang w:eastAsia="de-DE"/>
          <w14:ligatures w14:val="none"/>
        </w:rPr>
      </w:pPr>
      <w:r w:rsidRPr="00567E2A">
        <w:rPr>
          <w:rFonts w:eastAsia="Times New Roman" w:cs="Times New Roman"/>
          <w:kern w:val="0"/>
          <w:lang w:eastAsia="de-DE"/>
          <w14:ligatures w14:val="none"/>
        </w:rPr>
        <w:t>Erfolg bemisst sich im heutigen Wirtschaftsumfeld längst nicht mehr allein an Finanzkennzahlen, Marktanteilen oder Produktinnovation. Zunehmend rücken auch Umweltmanagement, Mitarbeiterförderung, verantwortungsvolle Lieferantenbeziehungen und Unternehmensführung in den Fokus von Investoren, Geschäftspartnern und Kundinnen und Kunden. Genau diese Bereiche bewertet EcoVadis, eine der weltweit führenden Plattformen für Nachhaltigkeitsratings. Die Methodik analysiert Systeme, Richtlinien und konkrete Ergebnisse hinter den Unternehmensentscheidungen und liefert damit eine unabhängige Einschätzung, wie tief Nachhaltigkeit im Tagesgeschäft verankert ist.</w:t>
      </w:r>
    </w:p>
    <w:p w14:paraId="16BC9382" w14:textId="77777777" w:rsidR="003F187D" w:rsidRPr="00567E2A" w:rsidRDefault="003F187D" w:rsidP="003F187D">
      <w:pPr>
        <w:spacing w:before="100" w:beforeAutospacing="1" w:after="100" w:afterAutospacing="1" w:line="240" w:lineRule="auto"/>
        <w:rPr>
          <w:rFonts w:eastAsia="Times New Roman" w:cs="Times New Roman"/>
          <w:kern w:val="0"/>
          <w:lang w:eastAsia="de-DE"/>
          <w14:ligatures w14:val="none"/>
        </w:rPr>
      </w:pPr>
      <w:r w:rsidRPr="00567E2A">
        <w:rPr>
          <w:rFonts w:eastAsia="Times New Roman" w:cs="Times New Roman"/>
          <w:kern w:val="0"/>
          <w:lang w:eastAsia="de-DE"/>
          <w14:ligatures w14:val="none"/>
        </w:rPr>
        <w:t>Hinter der aktuellen Platin-Bewertung steht langjährige Vorarbeit: In den vergangenen Jahren wurden Umwelt- und Energiemanagementsysteme ausgebaut, die Nachhaltigkeits-Governance gestärkt, die Transparenz durch extern geprüfte Berichterstattung erhöht und Nachhaltigkeitsanforderungen entlang der gesamten Lieferkette verankert. Sichtbar wird das unter anderem an 5,3 MW installierter Solarleistung am Produktionsstandort Velenje, an Wasser-Recycling-Projekten in der Fertigung, am steigenden Einsatz von Recyclingmaterialien, an vollständig recycelbaren Verpackungslösungen sowie an unabhängig geprüften Nachhaltigkeits- und CO₂-Daten. Ergänzt wird dies durch Zertifizierungen wie SA8000 für soziale Verantwortung, ISO 14001 für Umweltmanagement, ISO 50001 für Energiemanagement sowie die EMAS-Registrierung; zudem ist der Konzern aktives Mitglied im UN Global Compact.</w:t>
      </w:r>
    </w:p>
    <w:p w14:paraId="5B73AD4E" w14:textId="6E80EA85" w:rsidR="003F187D" w:rsidRPr="00567E2A" w:rsidRDefault="003F187D" w:rsidP="003F187D">
      <w:pPr>
        <w:spacing w:before="100" w:beforeAutospacing="1" w:after="100" w:afterAutospacing="1" w:line="240" w:lineRule="auto"/>
        <w:rPr>
          <w:rFonts w:eastAsia="Times New Roman" w:cs="Times New Roman"/>
          <w:kern w:val="0"/>
          <w:lang w:eastAsia="de-DE"/>
          <w14:ligatures w14:val="none"/>
        </w:rPr>
      </w:pPr>
      <w:r w:rsidRPr="00567E2A">
        <w:rPr>
          <w:rFonts w:eastAsia="Times New Roman" w:cs="Times New Roman"/>
          <w:kern w:val="0"/>
          <w:lang w:eastAsia="de-DE"/>
          <w14:ligatures w14:val="none"/>
        </w:rPr>
        <w:lastRenderedPageBreak/>
        <w:t xml:space="preserve">Besonders bemerkenswert: </w:t>
      </w:r>
      <w:r w:rsidR="00567E2A" w:rsidRPr="00567E2A">
        <w:rPr>
          <w:rFonts w:eastAsia="Times New Roman" w:cs="Times New Roman"/>
          <w:kern w:val="0"/>
          <w:lang w:eastAsia="de-DE"/>
          <w14:ligatures w14:val="none"/>
        </w:rPr>
        <w:t xml:space="preserve">Hisense </w:t>
      </w:r>
      <w:r w:rsidRPr="00567E2A">
        <w:rPr>
          <w:rFonts w:eastAsia="Times New Roman" w:cs="Times New Roman"/>
          <w:kern w:val="0"/>
          <w:lang w:eastAsia="de-DE"/>
          <w14:ligatures w14:val="none"/>
        </w:rPr>
        <w:t>Gorenje bleibt der einzige große Haushaltsgerätehersteller weltweit, der die höchste EcoVadis-Platin-Bewertung bereits zum zweiten Mal in Folge erreicht.</w:t>
      </w:r>
    </w:p>
    <w:p w14:paraId="308021C0" w14:textId="77777777" w:rsidR="00207A77" w:rsidRDefault="003F187D" w:rsidP="003F187D">
      <w:pPr>
        <w:spacing w:before="100" w:beforeAutospacing="1" w:after="100" w:afterAutospacing="1" w:line="240" w:lineRule="auto"/>
        <w:rPr>
          <w:rFonts w:eastAsia="Times New Roman" w:cs="Times New Roman"/>
          <w:kern w:val="0"/>
          <w:lang w:eastAsia="de-DE"/>
          <w14:ligatures w14:val="none"/>
        </w:rPr>
      </w:pPr>
      <w:r w:rsidRPr="00567E2A">
        <w:rPr>
          <w:rFonts w:eastAsia="Times New Roman" w:cs="Times New Roman"/>
          <w:kern w:val="0"/>
          <w:lang w:eastAsia="de-DE"/>
          <w14:ligatures w14:val="none"/>
        </w:rPr>
        <w:t xml:space="preserve">„Die EcoVadis-Platin-Medaille zum zweiten Mal in Folge zu erhalten, zeigt, dass sich langfristiges Engagement in messbaren Ergebnissen niederschlägt. Nachhaltigkeit erfordert heute dieselbe Disziplin wie jede andere unternehmerische Priorität: klare Ziele, verlässliche Daten, starke Governance und konsequente Umsetzung. Diese Auszeichnung ist das Ergebnis der gemeinsamen Arbeit von Teams in unserer gesamten Organisation", so </w:t>
      </w:r>
      <w:r w:rsidR="00567E2A" w:rsidRPr="00567E2A">
        <w:rPr>
          <w:rFonts w:eastAsia="Times New Roman" w:cs="Times New Roman"/>
          <w:kern w:val="0"/>
          <w:lang w:eastAsia="de-DE"/>
          <w14:ligatures w14:val="none"/>
        </w:rPr>
        <w:t xml:space="preserve">Andreas Kuzmits, Geschäftsführer von Hisense Gorenje Austria und führt weiter aus: </w:t>
      </w:r>
    </w:p>
    <w:p w14:paraId="5F0B46C2" w14:textId="4C8BF699" w:rsidR="003F187D" w:rsidRPr="00567E2A" w:rsidRDefault="00567E2A" w:rsidP="003F187D">
      <w:pPr>
        <w:spacing w:before="100" w:beforeAutospacing="1" w:after="100" w:afterAutospacing="1" w:line="240" w:lineRule="auto"/>
        <w:rPr>
          <w:rFonts w:eastAsia="Times New Roman" w:cs="Times New Roman"/>
          <w:kern w:val="0"/>
          <w:lang w:eastAsia="de-DE"/>
          <w14:ligatures w14:val="none"/>
        </w:rPr>
      </w:pPr>
      <w:r w:rsidRPr="00567E2A">
        <w:rPr>
          <w:rFonts w:eastAsia="Times New Roman" w:cs="Times New Roman"/>
          <w:kern w:val="0"/>
          <w:lang w:eastAsia="de-DE"/>
          <w14:ligatures w14:val="none"/>
        </w:rPr>
        <w:t>„</w:t>
      </w:r>
      <w:r w:rsidR="003F187D" w:rsidRPr="00567E2A">
        <w:rPr>
          <w:rFonts w:eastAsia="Times New Roman" w:cs="Times New Roman"/>
          <w:kern w:val="0"/>
          <w:lang w:eastAsia="de-DE"/>
          <w14:ligatures w14:val="none"/>
        </w:rPr>
        <w:t>Für den österreichischen Markt hat die Auszeichnung unmittelbare Relevanz: Konsumentinnen und Konsumenten wollen heute wissen, wer hinter den Produkten steht, die sie in ihr Zuhause holen. Mit der Platin-Bewertung von EcoVadis können wir dieses Vertrauen mit Fakten untermauern – für beide Marken, Hisense und Gorenje, die wir in Österreich gemeinsam vertreiben</w:t>
      </w:r>
      <w:r w:rsidRPr="00567E2A">
        <w:rPr>
          <w:rFonts w:eastAsia="Times New Roman" w:cs="Times New Roman"/>
          <w:kern w:val="0"/>
          <w:lang w:eastAsia="de-DE"/>
          <w14:ligatures w14:val="none"/>
        </w:rPr>
        <w:t>“.</w:t>
      </w:r>
    </w:p>
    <w:p w14:paraId="4EA677FD" w14:textId="77777777" w:rsidR="003F187D" w:rsidRPr="00567E2A" w:rsidRDefault="003F187D" w:rsidP="003F187D">
      <w:pPr>
        <w:spacing w:before="100" w:beforeAutospacing="1" w:after="100" w:afterAutospacing="1" w:line="240" w:lineRule="auto"/>
        <w:rPr>
          <w:rFonts w:eastAsia="Times New Roman" w:cs="Times New Roman"/>
          <w:kern w:val="0"/>
          <w:lang w:eastAsia="de-DE"/>
          <w14:ligatures w14:val="none"/>
        </w:rPr>
      </w:pPr>
      <w:r w:rsidRPr="00567E2A">
        <w:rPr>
          <w:rFonts w:eastAsia="Times New Roman" w:cs="Times New Roman"/>
          <w:b/>
          <w:bCs/>
          <w:kern w:val="0"/>
          <w:lang w:eastAsia="de-DE"/>
          <w14:ligatures w14:val="none"/>
        </w:rPr>
        <w:t>Ein Maßstab für Transparenz und Verantwortung</w:t>
      </w:r>
    </w:p>
    <w:p w14:paraId="6355F3E2" w14:textId="77777777" w:rsidR="003F187D" w:rsidRPr="00567E2A" w:rsidRDefault="003F187D" w:rsidP="003F187D">
      <w:pPr>
        <w:spacing w:before="100" w:beforeAutospacing="1" w:after="100" w:afterAutospacing="1" w:line="240" w:lineRule="auto"/>
        <w:rPr>
          <w:rFonts w:eastAsia="Times New Roman" w:cs="Times New Roman"/>
          <w:kern w:val="0"/>
          <w:lang w:eastAsia="de-DE"/>
          <w14:ligatures w14:val="none"/>
        </w:rPr>
      </w:pPr>
      <w:r w:rsidRPr="00567E2A">
        <w:rPr>
          <w:rFonts w:eastAsia="Times New Roman" w:cs="Times New Roman"/>
          <w:kern w:val="0"/>
          <w:lang w:eastAsia="de-DE"/>
          <w14:ligatures w14:val="none"/>
        </w:rPr>
        <w:t>Mit wachsenden Erwartungen von Kundinnen und Kunden, Geschäftspartnern, Investoren und Regulierungsbehörden gewinnen Transparenz und Rechenschaftspflicht zunehmend an Bedeutung als Indikatoren für unternehmerische Leistungsfähigkeit. Unabhängige Bewertungen wie jene von EcoVadis liefern dafür einen belastbaren Maßstab – und zeigen zugleich, wo weiteres Verbesserungspotenzial liegt. Für Hisense und Gorenje ist die aktuelle Platin-Auszeichnung sowohl Bestätigung bereits erzielter Fortschritte als auch Auftrag, den eingeschlagenen Weg konsequent weiterzugehen: Nachhaltigkeit wird mit derselben Konsequenz gemanagt wie Innovation, Qualität und operative Exzellenz.</w:t>
      </w:r>
    </w:p>
    <w:p w14:paraId="737A102C" w14:textId="77777777" w:rsidR="003F187D" w:rsidRPr="00567E2A" w:rsidRDefault="003F187D" w:rsidP="003F187D">
      <w:pPr>
        <w:spacing w:before="100" w:beforeAutospacing="1" w:after="100" w:afterAutospacing="1" w:line="240" w:lineRule="auto"/>
        <w:rPr>
          <w:rFonts w:eastAsia="Times New Roman" w:cs="Times New Roman"/>
          <w:kern w:val="0"/>
          <w:lang w:eastAsia="de-DE"/>
          <w14:ligatures w14:val="none"/>
        </w:rPr>
      </w:pPr>
      <w:r w:rsidRPr="00567E2A">
        <w:rPr>
          <w:rFonts w:eastAsia="Times New Roman" w:cs="Times New Roman"/>
          <w:b/>
          <w:bCs/>
          <w:kern w:val="0"/>
          <w:lang w:eastAsia="de-DE"/>
          <w14:ligatures w14:val="none"/>
        </w:rPr>
        <w:t>Über Hisense Gorenje Austria</w:t>
      </w:r>
    </w:p>
    <w:p w14:paraId="2CCB577B" w14:textId="05BB03E9" w:rsidR="003F187D" w:rsidRPr="00567E2A" w:rsidRDefault="003F187D" w:rsidP="003F187D">
      <w:pPr>
        <w:spacing w:before="100" w:beforeAutospacing="1" w:after="100" w:afterAutospacing="1" w:line="240" w:lineRule="auto"/>
        <w:rPr>
          <w:rFonts w:eastAsia="Times New Roman" w:cs="Times New Roman"/>
          <w:kern w:val="0"/>
          <w:lang w:eastAsia="de-DE"/>
          <w14:ligatures w14:val="none"/>
        </w:rPr>
      </w:pPr>
      <w:r w:rsidRPr="00207A77">
        <w:rPr>
          <w:rFonts w:eastAsia="Times New Roman" w:cs="Times New Roman"/>
          <w:kern w:val="0"/>
          <w:lang w:eastAsia="de-DE"/>
          <w14:ligatures w14:val="none"/>
        </w:rPr>
        <w:t>Hisense Gorenje ist einer der größten Hersteller von Haushaltsgeräten in Europa. Die österreichische Niederlassung – seit Jänner 2023 offiziell die „Hisense Gorenje Austria GmbH" – besteht mit eigenem Standort seit 1975, die Zentrale befindet sich in Wien. Hisense Gorenje Austria verzeichnete im Jahr 202</w:t>
      </w:r>
      <w:r w:rsidR="00207A77" w:rsidRPr="00207A77">
        <w:rPr>
          <w:rFonts w:eastAsia="Times New Roman" w:cs="Times New Roman"/>
          <w:kern w:val="0"/>
          <w:lang w:eastAsia="de-DE"/>
          <w14:ligatures w14:val="none"/>
        </w:rPr>
        <w:t>5</w:t>
      </w:r>
      <w:r w:rsidRPr="00207A77">
        <w:rPr>
          <w:rFonts w:eastAsia="Times New Roman" w:cs="Times New Roman"/>
          <w:kern w:val="0"/>
          <w:lang w:eastAsia="de-DE"/>
          <w14:ligatures w14:val="none"/>
        </w:rPr>
        <w:t xml:space="preserve"> einen Umsatz von </w:t>
      </w:r>
      <w:r w:rsidR="00207A77" w:rsidRPr="00207A77">
        <w:rPr>
          <w:rFonts w:eastAsia="Times New Roman" w:cs="Times New Roman"/>
          <w:kern w:val="0"/>
          <w:lang w:eastAsia="de-DE"/>
          <w14:ligatures w14:val="none"/>
        </w:rPr>
        <w:t>rund 55</w:t>
      </w:r>
      <w:r w:rsidR="00207A77">
        <w:rPr>
          <w:rFonts w:eastAsia="Times New Roman" w:cs="Times New Roman"/>
          <w:kern w:val="0"/>
          <w:lang w:eastAsia="de-DE"/>
          <w14:ligatures w14:val="none"/>
        </w:rPr>
        <w:t xml:space="preserve"> </w:t>
      </w:r>
      <w:r w:rsidRPr="00207A77">
        <w:rPr>
          <w:rFonts w:eastAsia="Times New Roman" w:cs="Times New Roman"/>
          <w:kern w:val="0"/>
          <w:lang w:eastAsia="de-DE"/>
          <w14:ligatures w14:val="none"/>
        </w:rPr>
        <w:t>Millionen Euro. Das Produktsortiment umfasst Kühl-/Gefriergeräte, Waschmaschinen, Waschtrockner und Wäschetrockner, Geschirrspüler, Küchengeräte</w:t>
      </w:r>
      <w:r w:rsidRPr="00567E2A">
        <w:rPr>
          <w:rFonts w:eastAsia="Times New Roman" w:cs="Times New Roman"/>
          <w:kern w:val="0"/>
          <w:lang w:eastAsia="de-DE"/>
          <w14:ligatures w14:val="none"/>
        </w:rPr>
        <w:t>, Küchen- und Haushaltskleingeräte, Warmwasserspeicher sowie Klimageräte. Ab 2025 vertreibt die österreichische Niederlassung auch die innovativen TV-Geräte aus dem Hause Hisense direkt. Gorenje ist zudem ein verlässlicher Partner im Einbaubereich (Backöfen bzw. Herde, Kochfelder, Dunstabzugshauben, Mikrowellen) und somit ein Vollsortiment-Anbieter für den Haushalt.</w:t>
      </w:r>
    </w:p>
    <w:p w14:paraId="0FE7C7F4" w14:textId="77777777" w:rsidR="003F187D" w:rsidRPr="00567E2A" w:rsidRDefault="003F187D" w:rsidP="003F187D">
      <w:pPr>
        <w:spacing w:before="100" w:beforeAutospacing="1" w:after="100" w:afterAutospacing="1" w:line="240" w:lineRule="auto"/>
        <w:rPr>
          <w:rFonts w:eastAsia="Times New Roman" w:cs="Times New Roman"/>
          <w:kern w:val="0"/>
          <w:lang w:eastAsia="de-DE"/>
          <w14:ligatures w14:val="none"/>
        </w:rPr>
      </w:pPr>
      <w:r w:rsidRPr="00567E2A">
        <w:rPr>
          <w:rFonts w:eastAsia="Times New Roman" w:cs="Times New Roman"/>
          <w:kern w:val="0"/>
          <w:lang w:eastAsia="de-DE"/>
          <w14:ligatures w14:val="none"/>
        </w:rPr>
        <w:t xml:space="preserve">2018 wurde das Unternehmen Teil der Hisense Europe Group und profitiert damit vom Zugang zu den Ergebnissen umfangreicher F&amp;E-Aktivitäten des Mutterkonzerns. Hisense, in China beheimatet und einer der weltweit führenden Hersteller von Unterhaltungselektronik, betreibt 16 Zentren für Forschung und Entwicklung. Rund fünf </w:t>
      </w:r>
      <w:r w:rsidRPr="00567E2A">
        <w:rPr>
          <w:rFonts w:eastAsia="Times New Roman" w:cs="Times New Roman"/>
          <w:kern w:val="0"/>
          <w:lang w:eastAsia="de-DE"/>
          <w14:ligatures w14:val="none"/>
        </w:rPr>
        <w:lastRenderedPageBreak/>
        <w:t>Prozent des Gesamtumsatzes werden investiert, um in allen Produktsegmenten Vorreiter für technologische Innovationen zu bleiben.</w:t>
      </w:r>
    </w:p>
    <w:p w14:paraId="49EE8CF1" w14:textId="77777777" w:rsidR="003F187D" w:rsidRPr="00567E2A" w:rsidRDefault="003F187D" w:rsidP="003F187D">
      <w:pPr>
        <w:spacing w:before="100" w:beforeAutospacing="1" w:after="100" w:afterAutospacing="1" w:line="240" w:lineRule="auto"/>
        <w:rPr>
          <w:rFonts w:eastAsia="Times New Roman" w:cs="Times New Roman"/>
          <w:kern w:val="0"/>
          <w:lang w:eastAsia="de-DE"/>
          <w14:ligatures w14:val="none"/>
        </w:rPr>
      </w:pPr>
      <w:r w:rsidRPr="00567E2A">
        <w:rPr>
          <w:rFonts w:eastAsia="Times New Roman" w:cs="Times New Roman"/>
          <w:b/>
          <w:bCs/>
          <w:kern w:val="0"/>
          <w:lang w:eastAsia="de-DE"/>
          <w14:ligatures w14:val="none"/>
        </w:rPr>
        <w:t>Kontakt</w:t>
      </w:r>
    </w:p>
    <w:p w14:paraId="5FA1E752" w14:textId="77777777" w:rsidR="003F187D" w:rsidRPr="00567E2A" w:rsidRDefault="003F187D" w:rsidP="003F187D">
      <w:pPr>
        <w:spacing w:before="100" w:beforeAutospacing="1" w:after="100" w:afterAutospacing="1" w:line="240" w:lineRule="auto"/>
        <w:rPr>
          <w:rFonts w:eastAsia="Times New Roman" w:cs="Times New Roman"/>
          <w:kern w:val="0"/>
          <w:lang w:eastAsia="de-DE"/>
          <w14:ligatures w14:val="none"/>
        </w:rPr>
      </w:pPr>
      <w:r w:rsidRPr="00567E2A">
        <w:rPr>
          <w:rFonts w:eastAsia="Times New Roman" w:cs="Times New Roman"/>
          <w:kern w:val="0"/>
          <w:lang w:eastAsia="de-DE"/>
          <w14:ligatures w14:val="none"/>
        </w:rPr>
        <w:t>Nicole Madaras Hisense Gorenje Austria GmbH T: +43 660 9293866 · nicole.madaras@gorenje.com</w:t>
      </w:r>
    </w:p>
    <w:p w14:paraId="61341299" w14:textId="77777777" w:rsidR="003F187D" w:rsidRPr="00567E2A" w:rsidRDefault="003F187D" w:rsidP="003F187D">
      <w:pPr>
        <w:spacing w:before="100" w:beforeAutospacing="1" w:after="100" w:afterAutospacing="1" w:line="240" w:lineRule="auto"/>
        <w:rPr>
          <w:rFonts w:eastAsia="Times New Roman" w:cs="Times New Roman"/>
          <w:kern w:val="0"/>
          <w:lang w:eastAsia="de-DE"/>
          <w14:ligatures w14:val="none"/>
        </w:rPr>
      </w:pPr>
      <w:r w:rsidRPr="00567E2A">
        <w:rPr>
          <w:rFonts w:eastAsia="Times New Roman" w:cs="Times New Roman"/>
          <w:kern w:val="0"/>
          <w:lang w:eastAsia="de-DE"/>
          <w14:ligatures w14:val="none"/>
        </w:rPr>
        <w:t>Ursula Wirth bluforce Markkomm T: +43 676 83786212 · u.wirth@bluforce.at</w:t>
      </w:r>
    </w:p>
    <w:p w14:paraId="3DBE88F4" w14:textId="77777777" w:rsidR="000F4EFA" w:rsidRPr="00567E2A" w:rsidRDefault="00622071" w:rsidP="000F4EFA">
      <w:pPr>
        <w:spacing w:after="0" w:line="240" w:lineRule="auto"/>
        <w:rPr>
          <w:rFonts w:eastAsia="Times New Roman" w:cs="Times New Roman"/>
          <w:kern w:val="0"/>
          <w:lang w:eastAsia="de-DE"/>
          <w14:ligatures w14:val="none"/>
        </w:rPr>
      </w:pPr>
      <w:r>
        <w:pict w14:anchorId="06A73473">
          <v:rect id="Horizontal Line 1" o:spid="_x0000_s2050" alt="" style="width:453.6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120BC184" w14:textId="77777777" w:rsidR="00651D3B" w:rsidRPr="00567E2A" w:rsidRDefault="00651D3B" w:rsidP="005F33AD">
      <w:pPr>
        <w:spacing w:after="0" w:line="283" w:lineRule="auto"/>
        <w:rPr>
          <w:rFonts w:cs="Arial"/>
          <w:color w:val="000000" w:themeColor="text1"/>
          <w:sz w:val="22"/>
          <w:szCs w:val="22"/>
          <w:lang w:val="fr-FR"/>
        </w:rPr>
      </w:pPr>
    </w:p>
    <w:p w14:paraId="2012C4F6" w14:textId="77777777" w:rsidR="00B20F0C" w:rsidRPr="00567E2A" w:rsidRDefault="00B20F0C" w:rsidP="005F33AD">
      <w:pPr>
        <w:spacing w:after="0" w:line="283" w:lineRule="auto"/>
        <w:rPr>
          <w:color w:val="000000" w:themeColor="text1"/>
          <w:lang w:val="fr-FR"/>
        </w:rPr>
      </w:pPr>
    </w:p>
    <w:p w14:paraId="35CAE7FB" w14:textId="77777777" w:rsidR="0041163B" w:rsidRPr="00567E2A" w:rsidRDefault="0041163B" w:rsidP="0041163B">
      <w:pPr>
        <w:spacing w:before="240" w:after="120" w:line="240" w:lineRule="auto"/>
        <w:rPr>
          <w:color w:val="000000" w:themeColor="text1"/>
        </w:rPr>
      </w:pPr>
      <w:r w:rsidRPr="00567E2A">
        <w:rPr>
          <w:b/>
          <w:bCs/>
          <w:color w:val="000000" w:themeColor="text1"/>
          <w:sz w:val="22"/>
          <w:szCs w:val="22"/>
        </w:rPr>
        <w:t>Kontakt</w:t>
      </w:r>
    </w:p>
    <w:p w14:paraId="44326731" w14:textId="77777777" w:rsidR="0041163B" w:rsidRPr="00567E2A" w:rsidRDefault="0041163B" w:rsidP="0041163B">
      <w:pPr>
        <w:spacing w:after="0" w:line="283" w:lineRule="auto"/>
        <w:rPr>
          <w:color w:val="000000" w:themeColor="text1"/>
        </w:rPr>
      </w:pPr>
      <w:r w:rsidRPr="00567E2A">
        <w:rPr>
          <w:color w:val="000000" w:themeColor="text1"/>
          <w:sz w:val="22"/>
          <w:szCs w:val="22"/>
        </w:rPr>
        <w:t>Nicole Madaras</w:t>
      </w:r>
    </w:p>
    <w:p w14:paraId="5CADA8ED" w14:textId="77777777" w:rsidR="0041163B" w:rsidRPr="00567E2A" w:rsidRDefault="0041163B" w:rsidP="0041163B">
      <w:pPr>
        <w:spacing w:after="0" w:line="283" w:lineRule="auto"/>
        <w:rPr>
          <w:color w:val="000000" w:themeColor="text1"/>
        </w:rPr>
      </w:pPr>
      <w:r w:rsidRPr="00567E2A">
        <w:rPr>
          <w:color w:val="000000" w:themeColor="text1"/>
          <w:sz w:val="22"/>
          <w:szCs w:val="22"/>
        </w:rPr>
        <w:t>Hisense Gorenje Austria GmbH</w:t>
      </w:r>
    </w:p>
    <w:p w14:paraId="0D367C0B" w14:textId="77777777" w:rsidR="0041163B" w:rsidRPr="00567E2A" w:rsidRDefault="0041163B" w:rsidP="0041163B">
      <w:pPr>
        <w:spacing w:after="0" w:line="283" w:lineRule="auto"/>
        <w:rPr>
          <w:color w:val="000000" w:themeColor="text1"/>
        </w:rPr>
      </w:pPr>
      <w:r w:rsidRPr="00567E2A">
        <w:rPr>
          <w:color w:val="000000" w:themeColor="text1"/>
          <w:sz w:val="22"/>
          <w:szCs w:val="22"/>
        </w:rPr>
        <w:t>T: +43 660 9293866 · nicole.madaras@gorenje.com</w:t>
      </w:r>
    </w:p>
    <w:p w14:paraId="7E4173B4" w14:textId="77777777" w:rsidR="0041163B" w:rsidRPr="00567E2A" w:rsidRDefault="0041163B" w:rsidP="0041163B">
      <w:pPr>
        <w:spacing w:after="0" w:line="283" w:lineRule="auto"/>
        <w:rPr>
          <w:color w:val="000000" w:themeColor="text1"/>
        </w:rPr>
      </w:pPr>
    </w:p>
    <w:p w14:paraId="3000CC0F" w14:textId="77777777" w:rsidR="0041163B" w:rsidRPr="00567E2A" w:rsidRDefault="0041163B" w:rsidP="0041163B">
      <w:pPr>
        <w:spacing w:after="0" w:line="283" w:lineRule="auto"/>
        <w:rPr>
          <w:color w:val="000000" w:themeColor="text1"/>
        </w:rPr>
      </w:pPr>
      <w:r w:rsidRPr="00567E2A">
        <w:rPr>
          <w:color w:val="000000" w:themeColor="text1"/>
          <w:sz w:val="22"/>
          <w:szCs w:val="22"/>
        </w:rPr>
        <w:t>Ursula Wirth</w:t>
      </w:r>
    </w:p>
    <w:p w14:paraId="29A1251B" w14:textId="77777777" w:rsidR="0041163B" w:rsidRPr="00567E2A" w:rsidRDefault="0041163B" w:rsidP="0041163B">
      <w:pPr>
        <w:spacing w:after="0" w:line="283" w:lineRule="auto"/>
        <w:rPr>
          <w:color w:val="000000" w:themeColor="text1"/>
        </w:rPr>
      </w:pPr>
      <w:r w:rsidRPr="00567E2A">
        <w:rPr>
          <w:color w:val="000000" w:themeColor="text1"/>
          <w:sz w:val="22"/>
          <w:szCs w:val="22"/>
        </w:rPr>
        <w:t>bluforce Markkomm</w:t>
      </w:r>
    </w:p>
    <w:p w14:paraId="2619457E" w14:textId="77777777" w:rsidR="0041163B" w:rsidRPr="00567E2A" w:rsidRDefault="0041163B" w:rsidP="0041163B">
      <w:pPr>
        <w:spacing w:after="0" w:line="283" w:lineRule="auto"/>
        <w:rPr>
          <w:color w:val="000000" w:themeColor="text1"/>
        </w:rPr>
      </w:pPr>
      <w:r w:rsidRPr="00567E2A">
        <w:rPr>
          <w:color w:val="000000" w:themeColor="text1"/>
          <w:sz w:val="22"/>
          <w:szCs w:val="22"/>
        </w:rPr>
        <w:t>T: +43 676 83786212 · u.wirth@bluforce.at</w:t>
      </w:r>
    </w:p>
    <w:p w14:paraId="587D8456" w14:textId="77777777" w:rsidR="00AF6267" w:rsidRPr="00567E2A" w:rsidRDefault="00AF6267" w:rsidP="005F33AD">
      <w:pPr>
        <w:spacing w:after="0" w:line="283" w:lineRule="auto"/>
        <w:rPr>
          <w:rFonts w:cs="Arial"/>
          <w:color w:val="000000" w:themeColor="text1"/>
          <w:sz w:val="22"/>
          <w:szCs w:val="22"/>
        </w:rPr>
      </w:pPr>
      <w:r w:rsidRPr="00567E2A">
        <w:rPr>
          <w:rStyle w:val="Hyperlink"/>
          <w:rFonts w:cs="Arial"/>
          <w:color w:val="000000" w:themeColor="text1"/>
          <w:sz w:val="22"/>
          <w:szCs w:val="22"/>
          <w:u w:val="none"/>
        </w:rPr>
        <w:t>u.wirth@bluforce.at</w:t>
      </w:r>
    </w:p>
    <w:p w14:paraId="40657162" w14:textId="77777777" w:rsidR="00AF6267" w:rsidRPr="00567E2A" w:rsidRDefault="00AF6267" w:rsidP="005F33AD">
      <w:pPr>
        <w:spacing w:after="0" w:line="283" w:lineRule="auto"/>
        <w:rPr>
          <w:color w:val="000000" w:themeColor="text1"/>
        </w:rPr>
      </w:pPr>
    </w:p>
    <w:p w14:paraId="2C0FF1B5" w14:textId="77777777" w:rsidR="003654D6" w:rsidRPr="00567E2A" w:rsidRDefault="003654D6" w:rsidP="005F33AD">
      <w:pPr>
        <w:spacing w:after="0" w:line="283" w:lineRule="auto"/>
        <w:rPr>
          <w:color w:val="000000" w:themeColor="text1"/>
        </w:rPr>
      </w:pPr>
    </w:p>
    <w:tbl>
      <w:tblPr>
        <w:tblStyle w:val="Tabellenraster"/>
        <w:tblW w:w="0" w:type="auto"/>
        <w:tblLook w:val="04A0" w:firstRow="1" w:lastRow="0" w:firstColumn="1" w:lastColumn="0" w:noHBand="0" w:noVBand="1"/>
      </w:tblPr>
      <w:tblGrid>
        <w:gridCol w:w="3565"/>
        <w:gridCol w:w="5497"/>
      </w:tblGrid>
      <w:tr w:rsidR="00121630" w:rsidRPr="00567E2A" w14:paraId="3FD70A74" w14:textId="77777777" w:rsidTr="002B1132">
        <w:tc>
          <w:tcPr>
            <w:tcW w:w="3434" w:type="dxa"/>
          </w:tcPr>
          <w:p w14:paraId="597971FD" w14:textId="496F4792" w:rsidR="00121630" w:rsidRPr="00567E2A" w:rsidRDefault="00121630" w:rsidP="002B1132">
            <w:pPr>
              <w:spacing w:before="120"/>
              <w:rPr>
                <w:noProof/>
              </w:rPr>
            </w:pPr>
            <w:r>
              <w:rPr>
                <w:noProof/>
              </w:rPr>
              <w:drawing>
                <wp:inline distT="0" distB="0" distL="0" distR="0" wp14:anchorId="4D1994B7" wp14:editId="490AADE3">
                  <wp:extent cx="2159000" cy="1282700"/>
                  <wp:effectExtent l="0" t="0" r="0" b="0"/>
                  <wp:docPr id="9075871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87149" name="Grafik 907587149"/>
                          <pic:cNvPicPr/>
                        </pic:nvPicPr>
                        <pic:blipFill>
                          <a:blip r:embed="rId11">
                            <a:extLst>
                              <a:ext uri="{28A0092B-C50C-407E-A947-70E740481C1C}">
                                <a14:useLocalDpi xmlns:a14="http://schemas.microsoft.com/office/drawing/2010/main" val="0"/>
                              </a:ext>
                            </a:extLst>
                          </a:blip>
                          <a:stretch>
                            <a:fillRect/>
                          </a:stretch>
                        </pic:blipFill>
                        <pic:spPr>
                          <a:xfrm>
                            <a:off x="0" y="0"/>
                            <a:ext cx="2159000" cy="1282700"/>
                          </a:xfrm>
                          <a:prstGeom prst="rect">
                            <a:avLst/>
                          </a:prstGeom>
                        </pic:spPr>
                      </pic:pic>
                    </a:graphicData>
                  </a:graphic>
                </wp:inline>
              </w:drawing>
            </w:r>
          </w:p>
        </w:tc>
        <w:tc>
          <w:tcPr>
            <w:tcW w:w="5628" w:type="dxa"/>
          </w:tcPr>
          <w:p w14:paraId="0A82D85E" w14:textId="77777777" w:rsidR="00121630" w:rsidRDefault="00121630" w:rsidP="002B1132">
            <w:pPr>
              <w:spacing w:before="120"/>
              <w:jc w:val="both"/>
              <w:rPr>
                <w:sz w:val="22"/>
                <w:szCs w:val="22"/>
              </w:rPr>
            </w:pPr>
          </w:p>
          <w:p w14:paraId="5ED2F3C1" w14:textId="2E414DBF" w:rsidR="0051028E" w:rsidRPr="0051028E" w:rsidRDefault="0051028E" w:rsidP="002B1132">
            <w:pPr>
              <w:spacing w:before="120"/>
              <w:jc w:val="both"/>
              <w:rPr>
                <w:sz w:val="20"/>
                <w:szCs w:val="20"/>
              </w:rPr>
            </w:pPr>
            <w:r w:rsidRPr="0051028E">
              <w:rPr>
                <w:sz w:val="20"/>
                <w:szCs w:val="20"/>
              </w:rPr>
              <w:t>Nachhaltiges Design im Naturkontext: Gorenje bleibt „der einzige große Haushaltsgerätehersteller weltweit, der die höchste EcoVadis-Platin-Bewertung bereits zum zweiten Mal in Folge erreicht</w:t>
            </w:r>
            <w:r>
              <w:rPr>
                <w:sz w:val="20"/>
                <w:szCs w:val="20"/>
              </w:rPr>
              <w:t>.</w:t>
            </w:r>
          </w:p>
          <w:p w14:paraId="2316E189" w14:textId="2F526863" w:rsidR="0051028E" w:rsidRPr="00567E2A" w:rsidRDefault="0051028E" w:rsidP="002B1132">
            <w:pPr>
              <w:spacing w:before="120"/>
              <w:jc w:val="both"/>
              <w:rPr>
                <w:sz w:val="22"/>
                <w:szCs w:val="22"/>
              </w:rPr>
            </w:pPr>
            <w:r w:rsidRPr="0051028E">
              <w:rPr>
                <w:sz w:val="22"/>
                <w:szCs w:val="22"/>
              </w:rPr>
              <w:t>https://filestation.bluforce.at:5001/sharing/qG8QA6s6W</w:t>
            </w:r>
          </w:p>
        </w:tc>
      </w:tr>
      <w:tr w:rsidR="00121630" w:rsidRPr="00567E2A" w14:paraId="3D98662B" w14:textId="77777777" w:rsidTr="002B1132">
        <w:tc>
          <w:tcPr>
            <w:tcW w:w="3434" w:type="dxa"/>
          </w:tcPr>
          <w:p w14:paraId="04C72CEC" w14:textId="74ECD340" w:rsidR="00121630" w:rsidRPr="00567E2A" w:rsidRDefault="00121630" w:rsidP="002B1132">
            <w:pPr>
              <w:spacing w:before="120"/>
              <w:rPr>
                <w:noProof/>
              </w:rPr>
            </w:pPr>
            <w:r>
              <w:rPr>
                <w:noProof/>
              </w:rPr>
              <w:drawing>
                <wp:inline distT="0" distB="0" distL="0" distR="0" wp14:anchorId="36203790" wp14:editId="5FC9BD23">
                  <wp:extent cx="2159000" cy="1219200"/>
                  <wp:effectExtent l="0" t="0" r="0" b="0"/>
                  <wp:docPr id="191127649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276491" name="Grafik 1911276491"/>
                          <pic:cNvPicPr/>
                        </pic:nvPicPr>
                        <pic:blipFill>
                          <a:blip r:embed="rId12">
                            <a:extLst>
                              <a:ext uri="{28A0092B-C50C-407E-A947-70E740481C1C}">
                                <a14:useLocalDpi xmlns:a14="http://schemas.microsoft.com/office/drawing/2010/main" val="0"/>
                              </a:ext>
                            </a:extLst>
                          </a:blip>
                          <a:stretch>
                            <a:fillRect/>
                          </a:stretch>
                        </pic:blipFill>
                        <pic:spPr>
                          <a:xfrm>
                            <a:off x="0" y="0"/>
                            <a:ext cx="2159000" cy="1219200"/>
                          </a:xfrm>
                          <a:prstGeom prst="rect">
                            <a:avLst/>
                          </a:prstGeom>
                        </pic:spPr>
                      </pic:pic>
                    </a:graphicData>
                  </a:graphic>
                </wp:inline>
              </w:drawing>
            </w:r>
          </w:p>
        </w:tc>
        <w:tc>
          <w:tcPr>
            <w:tcW w:w="5628" w:type="dxa"/>
          </w:tcPr>
          <w:p w14:paraId="220CC0EC" w14:textId="43215ECF" w:rsidR="00121630" w:rsidRPr="0051028E" w:rsidRDefault="0051028E" w:rsidP="002B1132">
            <w:pPr>
              <w:spacing w:before="120"/>
              <w:jc w:val="both"/>
              <w:rPr>
                <w:sz w:val="20"/>
                <w:szCs w:val="20"/>
              </w:rPr>
            </w:pPr>
            <w:r w:rsidRPr="0051028E">
              <w:rPr>
                <w:sz w:val="20"/>
                <w:szCs w:val="20"/>
              </w:rPr>
              <w:t>Mit dem EcoVadis-Platin-Siegel ausgezeichnet: „Mit einer Gesamtpunktzahl von 89 von 100 Punkten, nach 87 im Vorjahr, zählt der Konzern erneut zu den nachhaltigsten 1 % von mehr als 150.000 weltweit bewerteten Unternehmen.</w:t>
            </w:r>
          </w:p>
          <w:p w14:paraId="05DC1EE3" w14:textId="77777777" w:rsidR="0051028E" w:rsidRDefault="0051028E" w:rsidP="002B1132">
            <w:pPr>
              <w:spacing w:before="120"/>
              <w:jc w:val="both"/>
              <w:rPr>
                <w:sz w:val="22"/>
                <w:szCs w:val="22"/>
              </w:rPr>
            </w:pPr>
          </w:p>
          <w:p w14:paraId="68130AF6" w14:textId="2BC648DA" w:rsidR="0051028E" w:rsidRPr="00567E2A" w:rsidRDefault="0051028E" w:rsidP="002B1132">
            <w:pPr>
              <w:spacing w:before="120"/>
              <w:jc w:val="both"/>
              <w:rPr>
                <w:sz w:val="22"/>
                <w:szCs w:val="22"/>
              </w:rPr>
            </w:pPr>
            <w:r w:rsidRPr="0051028E">
              <w:rPr>
                <w:sz w:val="22"/>
                <w:szCs w:val="22"/>
              </w:rPr>
              <w:t>https://filestation.bluforce.at:5001/sharing/ucBvyGTrl</w:t>
            </w:r>
          </w:p>
        </w:tc>
      </w:tr>
      <w:tr w:rsidR="00121630" w:rsidRPr="00567E2A" w14:paraId="48918D98" w14:textId="77777777" w:rsidTr="002B1132">
        <w:tc>
          <w:tcPr>
            <w:tcW w:w="3434" w:type="dxa"/>
          </w:tcPr>
          <w:p w14:paraId="38AE6E1B" w14:textId="4BC298C5" w:rsidR="00121630" w:rsidRPr="00567E2A" w:rsidRDefault="00121630" w:rsidP="002B1132">
            <w:pPr>
              <w:spacing w:before="120"/>
              <w:rPr>
                <w:noProof/>
              </w:rPr>
            </w:pPr>
            <w:r>
              <w:rPr>
                <w:noProof/>
              </w:rPr>
              <w:lastRenderedPageBreak/>
              <w:drawing>
                <wp:inline distT="0" distB="0" distL="0" distR="0" wp14:anchorId="036BAA71" wp14:editId="5C8B45C2">
                  <wp:extent cx="2159000" cy="1917700"/>
                  <wp:effectExtent l="0" t="0" r="0" b="0"/>
                  <wp:docPr id="143504527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045270" name="Grafik 1435045270"/>
                          <pic:cNvPicPr/>
                        </pic:nvPicPr>
                        <pic:blipFill>
                          <a:blip r:embed="rId13">
                            <a:extLst>
                              <a:ext uri="{28A0092B-C50C-407E-A947-70E740481C1C}">
                                <a14:useLocalDpi xmlns:a14="http://schemas.microsoft.com/office/drawing/2010/main" val="0"/>
                              </a:ext>
                            </a:extLst>
                          </a:blip>
                          <a:stretch>
                            <a:fillRect/>
                          </a:stretch>
                        </pic:blipFill>
                        <pic:spPr>
                          <a:xfrm>
                            <a:off x="0" y="0"/>
                            <a:ext cx="2159000" cy="1917700"/>
                          </a:xfrm>
                          <a:prstGeom prst="rect">
                            <a:avLst/>
                          </a:prstGeom>
                        </pic:spPr>
                      </pic:pic>
                    </a:graphicData>
                  </a:graphic>
                </wp:inline>
              </w:drawing>
            </w:r>
          </w:p>
        </w:tc>
        <w:tc>
          <w:tcPr>
            <w:tcW w:w="5628" w:type="dxa"/>
          </w:tcPr>
          <w:p w14:paraId="351AF03A" w14:textId="3C5FD2A9" w:rsidR="00121630" w:rsidRDefault="0051028E" w:rsidP="002B1132">
            <w:pPr>
              <w:spacing w:before="120"/>
              <w:jc w:val="both"/>
              <w:rPr>
                <w:sz w:val="22"/>
                <w:szCs w:val="22"/>
              </w:rPr>
            </w:pPr>
            <w:r w:rsidRPr="0051028E">
              <w:rPr>
                <w:sz w:val="20"/>
                <w:szCs w:val="20"/>
              </w:rPr>
              <w:t>Hi</w:t>
            </w:r>
            <w:r w:rsidRPr="0051028E">
              <w:rPr>
                <w:sz w:val="20"/>
                <w:szCs w:val="20"/>
              </w:rPr>
              <w:t>sense wurde „für seine europäischen Fertigungsaktivitäten – verantwortet von Gorenje gospodinjski aparati d.o.o. – zum zweiten Mal in Folge mit der höchsten Auszeichnung von EcoVadis, der Platin-Medaille, ausgezeichnet</w:t>
            </w:r>
            <w:r>
              <w:t>.</w:t>
            </w:r>
          </w:p>
          <w:p w14:paraId="4AF4C162" w14:textId="77777777" w:rsidR="0051028E" w:rsidRDefault="0051028E" w:rsidP="002B1132">
            <w:pPr>
              <w:spacing w:before="120"/>
              <w:jc w:val="both"/>
              <w:rPr>
                <w:sz w:val="22"/>
                <w:szCs w:val="22"/>
              </w:rPr>
            </w:pPr>
          </w:p>
          <w:p w14:paraId="16C2C1CD" w14:textId="3A72C6D2" w:rsidR="0051028E" w:rsidRPr="00567E2A" w:rsidRDefault="0051028E" w:rsidP="002B1132">
            <w:pPr>
              <w:spacing w:before="120"/>
              <w:jc w:val="both"/>
              <w:rPr>
                <w:sz w:val="22"/>
                <w:szCs w:val="22"/>
              </w:rPr>
            </w:pPr>
            <w:r w:rsidRPr="0051028E">
              <w:rPr>
                <w:sz w:val="22"/>
                <w:szCs w:val="22"/>
              </w:rPr>
              <w:t>https://filestation.bluforce.at:5001/sharing/EsWCiBLKv</w:t>
            </w:r>
          </w:p>
        </w:tc>
      </w:tr>
      <w:tr w:rsidR="00D031F1" w:rsidRPr="00567E2A" w14:paraId="0C9EBAD8" w14:textId="77777777" w:rsidTr="002B1132">
        <w:tc>
          <w:tcPr>
            <w:tcW w:w="3434" w:type="dxa"/>
          </w:tcPr>
          <w:p w14:paraId="49F555EA" w14:textId="29AB7255" w:rsidR="00D031F1" w:rsidRPr="00567E2A" w:rsidRDefault="00121630" w:rsidP="002B1132">
            <w:pPr>
              <w:spacing w:before="120"/>
              <w:rPr>
                <w:noProof/>
              </w:rPr>
            </w:pPr>
            <w:r>
              <w:rPr>
                <w:noProof/>
              </w:rPr>
              <w:drawing>
                <wp:inline distT="0" distB="0" distL="0" distR="0" wp14:anchorId="314DE286" wp14:editId="2B0A4368">
                  <wp:extent cx="2159000" cy="1219200"/>
                  <wp:effectExtent l="0" t="0" r="0" b="0"/>
                  <wp:docPr id="2717669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6692" name="Grafik 27176692"/>
                          <pic:cNvPicPr/>
                        </pic:nvPicPr>
                        <pic:blipFill>
                          <a:blip r:embed="rId14">
                            <a:extLst>
                              <a:ext uri="{28A0092B-C50C-407E-A947-70E740481C1C}">
                                <a14:useLocalDpi xmlns:a14="http://schemas.microsoft.com/office/drawing/2010/main" val="0"/>
                              </a:ext>
                            </a:extLst>
                          </a:blip>
                          <a:stretch>
                            <a:fillRect/>
                          </a:stretch>
                        </pic:blipFill>
                        <pic:spPr>
                          <a:xfrm>
                            <a:off x="0" y="0"/>
                            <a:ext cx="2159000" cy="1219200"/>
                          </a:xfrm>
                          <a:prstGeom prst="rect">
                            <a:avLst/>
                          </a:prstGeom>
                        </pic:spPr>
                      </pic:pic>
                    </a:graphicData>
                  </a:graphic>
                </wp:inline>
              </w:drawing>
            </w:r>
          </w:p>
        </w:tc>
        <w:tc>
          <w:tcPr>
            <w:tcW w:w="5628" w:type="dxa"/>
          </w:tcPr>
          <w:p w14:paraId="6838A871" w14:textId="77777777" w:rsidR="00D031F1" w:rsidRDefault="00D031F1" w:rsidP="002B1132">
            <w:pPr>
              <w:spacing w:before="120"/>
              <w:jc w:val="both"/>
              <w:rPr>
                <w:sz w:val="22"/>
                <w:szCs w:val="22"/>
              </w:rPr>
            </w:pPr>
          </w:p>
          <w:p w14:paraId="66BDACBE" w14:textId="78B550B6" w:rsidR="0051028E" w:rsidRPr="0051028E" w:rsidRDefault="0051028E" w:rsidP="002B1132">
            <w:pPr>
              <w:spacing w:before="120"/>
              <w:jc w:val="both"/>
              <w:rPr>
                <w:sz w:val="20"/>
                <w:szCs w:val="20"/>
              </w:rPr>
            </w:pPr>
            <w:r w:rsidRPr="0051028E">
              <w:rPr>
                <w:sz w:val="20"/>
                <w:szCs w:val="20"/>
              </w:rPr>
              <w:t>Auch für Hisense gilt: Transparenz und Rechenschaftspflicht werden „zunehmend zu wichtigen Indikatoren für unternehmerische Leistungsfähigkeit" – bestätigt durch die unabhängige EcoVadis-Bewertung.</w:t>
            </w:r>
          </w:p>
          <w:p w14:paraId="289F9187" w14:textId="398B55C1" w:rsidR="0051028E" w:rsidRPr="00567E2A" w:rsidRDefault="0051028E" w:rsidP="002B1132">
            <w:pPr>
              <w:spacing w:before="120"/>
              <w:jc w:val="both"/>
              <w:rPr>
                <w:sz w:val="22"/>
                <w:szCs w:val="22"/>
              </w:rPr>
            </w:pPr>
            <w:r w:rsidRPr="0051028E">
              <w:rPr>
                <w:sz w:val="22"/>
                <w:szCs w:val="22"/>
              </w:rPr>
              <w:t>https://filestation.bluforce.at:5001/sharing/FpuMO3uhm</w:t>
            </w:r>
          </w:p>
        </w:tc>
      </w:tr>
      <w:tr w:rsidR="00D031F1" w:rsidRPr="00567E2A" w14:paraId="05A708CD" w14:textId="77777777" w:rsidTr="002B1132">
        <w:tc>
          <w:tcPr>
            <w:tcW w:w="3434" w:type="dxa"/>
          </w:tcPr>
          <w:p w14:paraId="407298EE" w14:textId="0719E337" w:rsidR="00D031F1" w:rsidRPr="00567E2A" w:rsidRDefault="00121630" w:rsidP="002B1132">
            <w:pPr>
              <w:spacing w:before="120"/>
            </w:pPr>
            <w:r>
              <w:rPr>
                <w:noProof/>
              </w:rPr>
              <w:drawing>
                <wp:inline distT="0" distB="0" distL="0" distR="0" wp14:anchorId="072E6C0E" wp14:editId="532802F1">
                  <wp:extent cx="1406952" cy="1793029"/>
                  <wp:effectExtent l="0" t="0" r="3175" b="0"/>
                  <wp:docPr id="113101213"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01213" name="Grafik 113101213"/>
                          <pic:cNvPicPr/>
                        </pic:nvPicPr>
                        <pic:blipFill>
                          <a:blip r:embed="rId15"/>
                          <a:stretch>
                            <a:fillRect/>
                          </a:stretch>
                        </pic:blipFill>
                        <pic:spPr>
                          <a:xfrm>
                            <a:off x="0" y="0"/>
                            <a:ext cx="1444686" cy="1841118"/>
                          </a:xfrm>
                          <a:prstGeom prst="rect">
                            <a:avLst/>
                          </a:prstGeom>
                        </pic:spPr>
                      </pic:pic>
                    </a:graphicData>
                  </a:graphic>
                </wp:inline>
              </w:drawing>
            </w:r>
          </w:p>
        </w:tc>
        <w:tc>
          <w:tcPr>
            <w:tcW w:w="5628" w:type="dxa"/>
          </w:tcPr>
          <w:p w14:paraId="36C6DA07" w14:textId="215AB887" w:rsidR="00D031F1" w:rsidRPr="00BB4DC2" w:rsidRDefault="00BB4DC2" w:rsidP="002B1132">
            <w:pPr>
              <w:pStyle w:val="StandardWeb"/>
              <w:spacing w:before="0" w:beforeAutospacing="0" w:after="0" w:afterAutospacing="0" w:line="283" w:lineRule="auto"/>
              <w:rPr>
                <w:rFonts w:asciiTheme="minorHAnsi" w:hAnsiTheme="minorHAnsi"/>
                <w:sz w:val="20"/>
                <w:szCs w:val="20"/>
              </w:rPr>
            </w:pPr>
            <w:r w:rsidRPr="00BB4DC2">
              <w:rPr>
                <w:rFonts w:asciiTheme="minorHAnsi" w:hAnsiTheme="minorHAnsi"/>
                <w:sz w:val="20"/>
                <w:szCs w:val="20"/>
              </w:rPr>
              <w:t>Das EcoVadis-Platin-Siegel: Es zeichnet Unternehmen aus, die mit ihrer Nachhaltigkeitsbewertung zum besten 1 Prozent (99. Perzentil oder höher) von mehr als 150.000 weltweit auf EcoVadis bewerteten Unternehmen zählen. Bewertet werden dabei die vier Bereiche Umwelt, Arbeits- und Menschenrechte, Ethik sowie nachhaltige Beschaffung.</w:t>
            </w:r>
          </w:p>
        </w:tc>
      </w:tr>
      <w:tr w:rsidR="00D031F1" w:rsidRPr="00567E2A" w14:paraId="424E4844" w14:textId="77777777" w:rsidTr="002B1132">
        <w:tc>
          <w:tcPr>
            <w:tcW w:w="3434" w:type="dxa"/>
          </w:tcPr>
          <w:p w14:paraId="7409542C" w14:textId="77777777" w:rsidR="00D031F1" w:rsidRPr="00567E2A" w:rsidRDefault="00D031F1" w:rsidP="002B1132">
            <w:pPr>
              <w:spacing w:before="120"/>
            </w:pPr>
            <w:r w:rsidRPr="00567E2A">
              <w:rPr>
                <w:rFonts w:eastAsia="Times New Roman" w:cs="Times New Roman"/>
                <w:noProof/>
                <w:kern w:val="0"/>
                <w:lang w:eastAsia="de-DE"/>
              </w:rPr>
              <w:drawing>
                <wp:inline distT="0" distB="0" distL="0" distR="0" wp14:anchorId="78AC21F2" wp14:editId="7E9F3F2A">
                  <wp:extent cx="1803400" cy="2705100"/>
                  <wp:effectExtent l="0" t="0" r="0" b="0"/>
                  <wp:docPr id="1538606845" name="Grafik 3" descr="Ein Bild, das Menschliches Gesicht, Person, Kleidung, Lächel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06845" name="Grafik 3" descr="Ein Bild, das Menschliches Gesicht, Person, Kleidung, Lächeln enthält.&#10;&#10;KI-generierte Inhalte können fehlerhaft sein."/>
                          <pic:cNvPicPr/>
                        </pic:nvPicPr>
                        <pic:blipFill>
                          <a:blip r:embed="rId16">
                            <a:extLst>
                              <a:ext uri="{28A0092B-C50C-407E-A947-70E740481C1C}">
                                <a14:useLocalDpi xmlns:a14="http://schemas.microsoft.com/office/drawing/2010/main" val="0"/>
                              </a:ext>
                            </a:extLst>
                          </a:blip>
                          <a:stretch>
                            <a:fillRect/>
                          </a:stretch>
                        </pic:blipFill>
                        <pic:spPr>
                          <a:xfrm>
                            <a:off x="0" y="0"/>
                            <a:ext cx="1803400" cy="2705100"/>
                          </a:xfrm>
                          <a:prstGeom prst="rect">
                            <a:avLst/>
                          </a:prstGeom>
                        </pic:spPr>
                      </pic:pic>
                    </a:graphicData>
                  </a:graphic>
                </wp:inline>
              </w:drawing>
            </w:r>
          </w:p>
        </w:tc>
        <w:tc>
          <w:tcPr>
            <w:tcW w:w="5628" w:type="dxa"/>
          </w:tcPr>
          <w:p w14:paraId="16DB6BDD" w14:textId="64666566" w:rsidR="00BB4DC2" w:rsidRPr="00BB4DC2" w:rsidRDefault="00BB4DC2" w:rsidP="002B1132">
            <w:pPr>
              <w:spacing w:before="120"/>
              <w:jc w:val="both"/>
              <w:rPr>
                <w:sz w:val="20"/>
                <w:szCs w:val="20"/>
              </w:rPr>
            </w:pPr>
            <w:r>
              <w:rPr>
                <w:sz w:val="20"/>
                <w:szCs w:val="20"/>
              </w:rPr>
              <w:t>„</w:t>
            </w:r>
            <w:r w:rsidRPr="00BB4DC2">
              <w:rPr>
                <w:sz w:val="20"/>
                <w:szCs w:val="20"/>
              </w:rPr>
              <w:t>Für den österreichischen Markt hat die Auszeichnung unmittelbare Relevanz: Konsumentinnen und Konsumenten wollen heute wissen, wer hinter den Produkten steht, die sie in ihr Zuhause holen", so Andreas Kuzmits, Geschäftsführer Hisense Gorenje Austria.</w:t>
            </w:r>
          </w:p>
          <w:p w14:paraId="0D5477EE" w14:textId="77777777" w:rsidR="00BB4DC2" w:rsidRDefault="00BB4DC2" w:rsidP="002B1132">
            <w:pPr>
              <w:spacing w:before="120"/>
              <w:jc w:val="both"/>
            </w:pPr>
          </w:p>
          <w:p w14:paraId="032287D4" w14:textId="7AC5B242" w:rsidR="00D031F1" w:rsidRPr="00567E2A" w:rsidRDefault="00D031F1" w:rsidP="002B1132">
            <w:pPr>
              <w:spacing w:before="120"/>
              <w:jc w:val="both"/>
              <w:rPr>
                <w:sz w:val="22"/>
                <w:szCs w:val="22"/>
              </w:rPr>
            </w:pPr>
            <w:r w:rsidRPr="00567E2A">
              <w:rPr>
                <w:sz w:val="22"/>
                <w:szCs w:val="22"/>
              </w:rPr>
              <w:t>https://filestation.bluforce.at:5001/sharing/7Cv7kQqP1</w:t>
            </w:r>
          </w:p>
          <w:p w14:paraId="5EC18D15" w14:textId="77777777" w:rsidR="00D031F1" w:rsidRPr="00567E2A" w:rsidRDefault="00D031F1" w:rsidP="002B1132">
            <w:pPr>
              <w:spacing w:before="120"/>
              <w:rPr>
                <w:sz w:val="22"/>
                <w:szCs w:val="22"/>
              </w:rPr>
            </w:pPr>
          </w:p>
        </w:tc>
      </w:tr>
    </w:tbl>
    <w:p w14:paraId="1AA5ACD4" w14:textId="77777777" w:rsidR="00B47C1E" w:rsidRPr="00567E2A" w:rsidRDefault="00B47C1E" w:rsidP="005F33AD">
      <w:pPr>
        <w:spacing w:after="0" w:line="283" w:lineRule="auto"/>
        <w:rPr>
          <w:color w:val="000000" w:themeColor="text1"/>
        </w:rPr>
      </w:pPr>
    </w:p>
    <w:p w14:paraId="1E7C9D53" w14:textId="77777777" w:rsidR="005F33AD" w:rsidRPr="00567E2A" w:rsidRDefault="005F33AD">
      <w:pPr>
        <w:spacing w:after="0" w:line="283" w:lineRule="auto"/>
        <w:rPr>
          <w:color w:val="000000" w:themeColor="text1"/>
        </w:rPr>
      </w:pPr>
    </w:p>
    <w:p w14:paraId="08D4B495" w14:textId="77777777" w:rsidR="0041163B" w:rsidRPr="00567E2A" w:rsidRDefault="0041163B">
      <w:pPr>
        <w:spacing w:after="0" w:line="283" w:lineRule="auto"/>
        <w:rPr>
          <w:color w:val="000000" w:themeColor="text1"/>
        </w:rPr>
      </w:pPr>
    </w:p>
    <w:p w14:paraId="16FB8C20" w14:textId="77777777" w:rsidR="00651D3B" w:rsidRPr="00567E2A" w:rsidRDefault="00651D3B">
      <w:pPr>
        <w:spacing w:after="0" w:line="283" w:lineRule="auto"/>
        <w:rPr>
          <w:color w:val="000000" w:themeColor="text1"/>
        </w:rPr>
      </w:pPr>
    </w:p>
    <w:sectPr w:rsidR="00651D3B" w:rsidRPr="00567E2A">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48F0A2" w14:textId="77777777" w:rsidR="00622071" w:rsidRDefault="00622071" w:rsidP="00AE51FC">
      <w:pPr>
        <w:spacing w:after="0" w:line="240" w:lineRule="auto"/>
      </w:pPr>
      <w:r>
        <w:separator/>
      </w:r>
    </w:p>
  </w:endnote>
  <w:endnote w:type="continuationSeparator" w:id="0">
    <w:p w14:paraId="4A807C8D" w14:textId="77777777" w:rsidR="00622071" w:rsidRDefault="00622071" w:rsidP="00AE5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6F13DF" w14:textId="77777777" w:rsidR="00622071" w:rsidRDefault="00622071" w:rsidP="00AE51FC">
      <w:pPr>
        <w:spacing w:after="0" w:line="240" w:lineRule="auto"/>
      </w:pPr>
      <w:r>
        <w:separator/>
      </w:r>
    </w:p>
  </w:footnote>
  <w:footnote w:type="continuationSeparator" w:id="0">
    <w:p w14:paraId="67A14139" w14:textId="77777777" w:rsidR="00622071" w:rsidRDefault="00622071" w:rsidP="00AE51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60853"/>
    <w:multiLevelType w:val="hybridMultilevel"/>
    <w:tmpl w:val="427047E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7479B4"/>
    <w:multiLevelType w:val="multilevel"/>
    <w:tmpl w:val="9670D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B47E3B"/>
    <w:multiLevelType w:val="multilevel"/>
    <w:tmpl w:val="0554C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91217F"/>
    <w:multiLevelType w:val="multilevel"/>
    <w:tmpl w:val="69B0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B647F"/>
    <w:multiLevelType w:val="multilevel"/>
    <w:tmpl w:val="379A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600AD"/>
    <w:multiLevelType w:val="multilevel"/>
    <w:tmpl w:val="352C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6E6EE6"/>
    <w:multiLevelType w:val="hybridMultilevel"/>
    <w:tmpl w:val="8C700BC0"/>
    <w:lvl w:ilvl="0" w:tplc="22289B5E">
      <w:start w:val="1"/>
      <w:numFmt w:val="bullet"/>
      <w:lvlText w:val="●"/>
      <w:lvlJc w:val="left"/>
      <w:pPr>
        <w:ind w:left="720" w:hanging="360"/>
      </w:pPr>
    </w:lvl>
    <w:lvl w:ilvl="1" w:tplc="D26615DC">
      <w:start w:val="1"/>
      <w:numFmt w:val="bullet"/>
      <w:lvlText w:val="○"/>
      <w:lvlJc w:val="left"/>
      <w:pPr>
        <w:ind w:left="1440" w:hanging="360"/>
      </w:pPr>
    </w:lvl>
    <w:lvl w:ilvl="2" w:tplc="059A3310">
      <w:start w:val="1"/>
      <w:numFmt w:val="bullet"/>
      <w:lvlText w:val="■"/>
      <w:lvlJc w:val="left"/>
      <w:pPr>
        <w:ind w:left="2160" w:hanging="360"/>
      </w:pPr>
    </w:lvl>
    <w:lvl w:ilvl="3" w:tplc="5456006A">
      <w:start w:val="1"/>
      <w:numFmt w:val="bullet"/>
      <w:lvlText w:val="●"/>
      <w:lvlJc w:val="left"/>
      <w:pPr>
        <w:ind w:left="2880" w:hanging="360"/>
      </w:pPr>
    </w:lvl>
    <w:lvl w:ilvl="4" w:tplc="61B245E6">
      <w:start w:val="1"/>
      <w:numFmt w:val="bullet"/>
      <w:lvlText w:val="○"/>
      <w:lvlJc w:val="left"/>
      <w:pPr>
        <w:ind w:left="3600" w:hanging="360"/>
      </w:pPr>
    </w:lvl>
    <w:lvl w:ilvl="5" w:tplc="10A628E0">
      <w:start w:val="1"/>
      <w:numFmt w:val="bullet"/>
      <w:lvlText w:val="■"/>
      <w:lvlJc w:val="left"/>
      <w:pPr>
        <w:ind w:left="4320" w:hanging="360"/>
      </w:pPr>
    </w:lvl>
    <w:lvl w:ilvl="6" w:tplc="796A6F84">
      <w:start w:val="1"/>
      <w:numFmt w:val="bullet"/>
      <w:lvlText w:val="●"/>
      <w:lvlJc w:val="left"/>
      <w:pPr>
        <w:ind w:left="5040" w:hanging="360"/>
      </w:pPr>
    </w:lvl>
    <w:lvl w:ilvl="7" w:tplc="8BEEBEB0">
      <w:start w:val="1"/>
      <w:numFmt w:val="bullet"/>
      <w:lvlText w:val="●"/>
      <w:lvlJc w:val="left"/>
      <w:pPr>
        <w:ind w:left="5760" w:hanging="360"/>
      </w:pPr>
    </w:lvl>
    <w:lvl w:ilvl="8" w:tplc="187CCD82">
      <w:start w:val="1"/>
      <w:numFmt w:val="bullet"/>
      <w:lvlText w:val="●"/>
      <w:lvlJc w:val="left"/>
      <w:pPr>
        <w:ind w:left="6480" w:hanging="360"/>
      </w:pPr>
    </w:lvl>
  </w:abstractNum>
  <w:abstractNum w:abstractNumId="7" w15:restartNumberingAfterBreak="0">
    <w:nsid w:val="13B71084"/>
    <w:multiLevelType w:val="multilevel"/>
    <w:tmpl w:val="AD96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D41544"/>
    <w:multiLevelType w:val="multilevel"/>
    <w:tmpl w:val="E71A8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BD573A"/>
    <w:multiLevelType w:val="multilevel"/>
    <w:tmpl w:val="1D2C7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745226"/>
    <w:multiLevelType w:val="multilevel"/>
    <w:tmpl w:val="8542A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5456D4"/>
    <w:multiLevelType w:val="multilevel"/>
    <w:tmpl w:val="A7585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3D2565C"/>
    <w:multiLevelType w:val="multilevel"/>
    <w:tmpl w:val="85C2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FD24A6"/>
    <w:multiLevelType w:val="hybridMultilevel"/>
    <w:tmpl w:val="7AAC935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4" w15:restartNumberingAfterBreak="0">
    <w:nsid w:val="59A2604B"/>
    <w:multiLevelType w:val="multilevel"/>
    <w:tmpl w:val="CC32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7D0BB0"/>
    <w:multiLevelType w:val="multilevel"/>
    <w:tmpl w:val="2D30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B6377D"/>
    <w:multiLevelType w:val="multilevel"/>
    <w:tmpl w:val="DE6ED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3118840">
    <w:abstractNumId w:val="3"/>
  </w:num>
  <w:num w:numId="2" w16cid:durableId="101264867">
    <w:abstractNumId w:val="7"/>
  </w:num>
  <w:num w:numId="3" w16cid:durableId="1809202211">
    <w:abstractNumId w:val="0"/>
  </w:num>
  <w:num w:numId="4" w16cid:durableId="506870569">
    <w:abstractNumId w:val="4"/>
  </w:num>
  <w:num w:numId="5" w16cid:durableId="478110499">
    <w:abstractNumId w:val="8"/>
  </w:num>
  <w:num w:numId="6" w16cid:durableId="995689210">
    <w:abstractNumId w:val="10"/>
  </w:num>
  <w:num w:numId="7" w16cid:durableId="548306095">
    <w:abstractNumId w:val="14"/>
  </w:num>
  <w:num w:numId="8" w16cid:durableId="2034111120">
    <w:abstractNumId w:val="13"/>
  </w:num>
  <w:num w:numId="9" w16cid:durableId="1199733423">
    <w:abstractNumId w:val="12"/>
  </w:num>
  <w:num w:numId="10" w16cid:durableId="899367477">
    <w:abstractNumId w:val="2"/>
  </w:num>
  <w:num w:numId="11" w16cid:durableId="1803228517">
    <w:abstractNumId w:val="9"/>
  </w:num>
  <w:num w:numId="12" w16cid:durableId="93524278">
    <w:abstractNumId w:val="11"/>
  </w:num>
  <w:num w:numId="13" w16cid:durableId="1082989860">
    <w:abstractNumId w:val="16"/>
  </w:num>
  <w:num w:numId="14" w16cid:durableId="759985962">
    <w:abstractNumId w:val="15"/>
  </w:num>
  <w:num w:numId="15" w16cid:durableId="1516503089">
    <w:abstractNumId w:val="1"/>
  </w:num>
  <w:num w:numId="16" w16cid:durableId="895236958">
    <w:abstractNumId w:val="5"/>
  </w:num>
  <w:num w:numId="17" w16cid:durableId="228662576">
    <w:abstractNumId w:val="6"/>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3"/>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FFF"/>
    <w:rsid w:val="00003FFF"/>
    <w:rsid w:val="0000708C"/>
    <w:rsid w:val="00011474"/>
    <w:rsid w:val="000311F9"/>
    <w:rsid w:val="000429AB"/>
    <w:rsid w:val="0006029C"/>
    <w:rsid w:val="00065041"/>
    <w:rsid w:val="00067454"/>
    <w:rsid w:val="000771E7"/>
    <w:rsid w:val="000B35A6"/>
    <w:rsid w:val="000B3646"/>
    <w:rsid w:val="000B3A33"/>
    <w:rsid w:val="000B60E3"/>
    <w:rsid w:val="000F4EFA"/>
    <w:rsid w:val="001071E9"/>
    <w:rsid w:val="00110E79"/>
    <w:rsid w:val="001113C1"/>
    <w:rsid w:val="00121630"/>
    <w:rsid w:val="00121AFB"/>
    <w:rsid w:val="001313F5"/>
    <w:rsid w:val="00133B78"/>
    <w:rsid w:val="0017341B"/>
    <w:rsid w:val="00195C98"/>
    <w:rsid w:val="001B4CBF"/>
    <w:rsid w:val="001C19AD"/>
    <w:rsid w:val="001C43D0"/>
    <w:rsid w:val="001E2295"/>
    <w:rsid w:val="002009BC"/>
    <w:rsid w:val="00203616"/>
    <w:rsid w:val="00206E58"/>
    <w:rsid w:val="00207A77"/>
    <w:rsid w:val="00211A09"/>
    <w:rsid w:val="00212443"/>
    <w:rsid w:val="0023285B"/>
    <w:rsid w:val="0024291F"/>
    <w:rsid w:val="00263A3F"/>
    <w:rsid w:val="00270DC9"/>
    <w:rsid w:val="00273A98"/>
    <w:rsid w:val="00287A8B"/>
    <w:rsid w:val="002A3B2D"/>
    <w:rsid w:val="002B28AC"/>
    <w:rsid w:val="002B7526"/>
    <w:rsid w:val="002D6A92"/>
    <w:rsid w:val="002D7DAC"/>
    <w:rsid w:val="002E79F8"/>
    <w:rsid w:val="002F7035"/>
    <w:rsid w:val="00326EFB"/>
    <w:rsid w:val="00337576"/>
    <w:rsid w:val="0034277F"/>
    <w:rsid w:val="00342EE3"/>
    <w:rsid w:val="003654D6"/>
    <w:rsid w:val="00370F3C"/>
    <w:rsid w:val="003721B1"/>
    <w:rsid w:val="003831EB"/>
    <w:rsid w:val="0039587F"/>
    <w:rsid w:val="003D1B38"/>
    <w:rsid w:val="003E4B3B"/>
    <w:rsid w:val="003F187D"/>
    <w:rsid w:val="00402C8A"/>
    <w:rsid w:val="0041163B"/>
    <w:rsid w:val="0041582D"/>
    <w:rsid w:val="0042061C"/>
    <w:rsid w:val="00420D01"/>
    <w:rsid w:val="004325A2"/>
    <w:rsid w:val="00452BD0"/>
    <w:rsid w:val="00455792"/>
    <w:rsid w:val="0045760D"/>
    <w:rsid w:val="00473C8E"/>
    <w:rsid w:val="00492A51"/>
    <w:rsid w:val="004B4B5F"/>
    <w:rsid w:val="004F39E8"/>
    <w:rsid w:val="004F7417"/>
    <w:rsid w:val="00505E39"/>
    <w:rsid w:val="0051028E"/>
    <w:rsid w:val="00520725"/>
    <w:rsid w:val="00547C30"/>
    <w:rsid w:val="005544E2"/>
    <w:rsid w:val="00554C41"/>
    <w:rsid w:val="00557075"/>
    <w:rsid w:val="00560DFB"/>
    <w:rsid w:val="00565B10"/>
    <w:rsid w:val="00566363"/>
    <w:rsid w:val="00567E2A"/>
    <w:rsid w:val="00570E46"/>
    <w:rsid w:val="00572CAF"/>
    <w:rsid w:val="0057471A"/>
    <w:rsid w:val="00576A5E"/>
    <w:rsid w:val="00580115"/>
    <w:rsid w:val="00596A05"/>
    <w:rsid w:val="005A1E67"/>
    <w:rsid w:val="005A2B39"/>
    <w:rsid w:val="005A6D71"/>
    <w:rsid w:val="005D7965"/>
    <w:rsid w:val="005E3C1A"/>
    <w:rsid w:val="005F33AD"/>
    <w:rsid w:val="00622071"/>
    <w:rsid w:val="00632FEF"/>
    <w:rsid w:val="0064342B"/>
    <w:rsid w:val="00651B1B"/>
    <w:rsid w:val="00651D3B"/>
    <w:rsid w:val="00670468"/>
    <w:rsid w:val="00683455"/>
    <w:rsid w:val="006D215F"/>
    <w:rsid w:val="006D6B0D"/>
    <w:rsid w:val="006E2357"/>
    <w:rsid w:val="006E5E7B"/>
    <w:rsid w:val="006F4CBB"/>
    <w:rsid w:val="0070459B"/>
    <w:rsid w:val="00705A4F"/>
    <w:rsid w:val="00722A42"/>
    <w:rsid w:val="0073551F"/>
    <w:rsid w:val="00735AC0"/>
    <w:rsid w:val="00742523"/>
    <w:rsid w:val="00746F44"/>
    <w:rsid w:val="00775097"/>
    <w:rsid w:val="00775DC5"/>
    <w:rsid w:val="00782014"/>
    <w:rsid w:val="00792111"/>
    <w:rsid w:val="007B1BC6"/>
    <w:rsid w:val="007B28A2"/>
    <w:rsid w:val="007C165C"/>
    <w:rsid w:val="007C25F9"/>
    <w:rsid w:val="007C5909"/>
    <w:rsid w:val="007D79FE"/>
    <w:rsid w:val="008001DE"/>
    <w:rsid w:val="00802411"/>
    <w:rsid w:val="0080495E"/>
    <w:rsid w:val="00826C8D"/>
    <w:rsid w:val="00846E7B"/>
    <w:rsid w:val="00854CD6"/>
    <w:rsid w:val="00865F62"/>
    <w:rsid w:val="008728C2"/>
    <w:rsid w:val="008740C1"/>
    <w:rsid w:val="00886808"/>
    <w:rsid w:val="008A702B"/>
    <w:rsid w:val="008B3021"/>
    <w:rsid w:val="008C00F5"/>
    <w:rsid w:val="008D6B4A"/>
    <w:rsid w:val="008E4D3B"/>
    <w:rsid w:val="008F19EF"/>
    <w:rsid w:val="008F786F"/>
    <w:rsid w:val="00901A06"/>
    <w:rsid w:val="00921E58"/>
    <w:rsid w:val="00947962"/>
    <w:rsid w:val="00975A0F"/>
    <w:rsid w:val="00977BE5"/>
    <w:rsid w:val="00981421"/>
    <w:rsid w:val="009908CB"/>
    <w:rsid w:val="009A46D5"/>
    <w:rsid w:val="009A7D15"/>
    <w:rsid w:val="009B78E1"/>
    <w:rsid w:val="009C0F77"/>
    <w:rsid w:val="009C2B6A"/>
    <w:rsid w:val="009C6169"/>
    <w:rsid w:val="009D4220"/>
    <w:rsid w:val="009F7FD7"/>
    <w:rsid w:val="00A07039"/>
    <w:rsid w:val="00A22F32"/>
    <w:rsid w:val="00A257A7"/>
    <w:rsid w:val="00A26485"/>
    <w:rsid w:val="00A33BAE"/>
    <w:rsid w:val="00A34E31"/>
    <w:rsid w:val="00A35660"/>
    <w:rsid w:val="00A414B3"/>
    <w:rsid w:val="00A97A98"/>
    <w:rsid w:val="00AB78C8"/>
    <w:rsid w:val="00AC3EAB"/>
    <w:rsid w:val="00AD1122"/>
    <w:rsid w:val="00AE51FC"/>
    <w:rsid w:val="00AE7003"/>
    <w:rsid w:val="00AF4343"/>
    <w:rsid w:val="00AF6267"/>
    <w:rsid w:val="00AF794A"/>
    <w:rsid w:val="00B1150D"/>
    <w:rsid w:val="00B20F0C"/>
    <w:rsid w:val="00B21357"/>
    <w:rsid w:val="00B31C00"/>
    <w:rsid w:val="00B47C1E"/>
    <w:rsid w:val="00B62175"/>
    <w:rsid w:val="00B65CF1"/>
    <w:rsid w:val="00B840BA"/>
    <w:rsid w:val="00B84745"/>
    <w:rsid w:val="00B93BB6"/>
    <w:rsid w:val="00B9466D"/>
    <w:rsid w:val="00BA474F"/>
    <w:rsid w:val="00BA6433"/>
    <w:rsid w:val="00BB4DC2"/>
    <w:rsid w:val="00BB5D6B"/>
    <w:rsid w:val="00BD2280"/>
    <w:rsid w:val="00BF58DD"/>
    <w:rsid w:val="00C00E55"/>
    <w:rsid w:val="00C051D5"/>
    <w:rsid w:val="00C4383B"/>
    <w:rsid w:val="00C518AF"/>
    <w:rsid w:val="00C55FC7"/>
    <w:rsid w:val="00C574FB"/>
    <w:rsid w:val="00C60E5D"/>
    <w:rsid w:val="00C77402"/>
    <w:rsid w:val="00C8547F"/>
    <w:rsid w:val="00C95EE7"/>
    <w:rsid w:val="00CA656C"/>
    <w:rsid w:val="00CB14FB"/>
    <w:rsid w:val="00CC6D2C"/>
    <w:rsid w:val="00CE5A54"/>
    <w:rsid w:val="00CE5EDE"/>
    <w:rsid w:val="00CE64D5"/>
    <w:rsid w:val="00D00B52"/>
    <w:rsid w:val="00D031F1"/>
    <w:rsid w:val="00D07B41"/>
    <w:rsid w:val="00D13D89"/>
    <w:rsid w:val="00D17054"/>
    <w:rsid w:val="00D20615"/>
    <w:rsid w:val="00D237BB"/>
    <w:rsid w:val="00D31ADA"/>
    <w:rsid w:val="00D33E24"/>
    <w:rsid w:val="00D37855"/>
    <w:rsid w:val="00D40BA8"/>
    <w:rsid w:val="00D432E4"/>
    <w:rsid w:val="00D639E9"/>
    <w:rsid w:val="00D909DF"/>
    <w:rsid w:val="00D9454C"/>
    <w:rsid w:val="00D94987"/>
    <w:rsid w:val="00DA7BCB"/>
    <w:rsid w:val="00DB2D81"/>
    <w:rsid w:val="00DB5DF9"/>
    <w:rsid w:val="00DE245F"/>
    <w:rsid w:val="00DF4C08"/>
    <w:rsid w:val="00E21426"/>
    <w:rsid w:val="00E43A54"/>
    <w:rsid w:val="00E52EC3"/>
    <w:rsid w:val="00E54116"/>
    <w:rsid w:val="00E6044B"/>
    <w:rsid w:val="00E70B09"/>
    <w:rsid w:val="00E92955"/>
    <w:rsid w:val="00EB6249"/>
    <w:rsid w:val="00EC2F93"/>
    <w:rsid w:val="00EC4934"/>
    <w:rsid w:val="00ED71ED"/>
    <w:rsid w:val="00EE7158"/>
    <w:rsid w:val="00F126A9"/>
    <w:rsid w:val="00F13505"/>
    <w:rsid w:val="00F13593"/>
    <w:rsid w:val="00F1715B"/>
    <w:rsid w:val="00F32740"/>
    <w:rsid w:val="00F42EE8"/>
    <w:rsid w:val="00F50DE7"/>
    <w:rsid w:val="00F53B38"/>
    <w:rsid w:val="00F5532E"/>
    <w:rsid w:val="00F96ECD"/>
    <w:rsid w:val="00FA03D7"/>
    <w:rsid w:val="00FB2325"/>
    <w:rsid w:val="00FB6782"/>
    <w:rsid w:val="00FC1656"/>
    <w:rsid w:val="00FE3A68"/>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37E9F6D"/>
  <w15:chartTrackingRefBased/>
  <w15:docId w15:val="{E8508A8F-3D5F-7743-A7B7-A656D0B11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03F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003F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003FF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03FF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03FF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03FF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03FF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03FF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03FF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03FF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003FF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003FF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03FF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03FF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03FF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03FF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03FF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03FFF"/>
    <w:rPr>
      <w:rFonts w:eastAsiaTheme="majorEastAsia" w:cstheme="majorBidi"/>
      <w:color w:val="272727" w:themeColor="text1" w:themeTint="D8"/>
    </w:rPr>
  </w:style>
  <w:style w:type="paragraph" w:styleId="Titel">
    <w:name w:val="Title"/>
    <w:basedOn w:val="Standard"/>
    <w:next w:val="Standard"/>
    <w:link w:val="TitelZchn"/>
    <w:uiPriority w:val="10"/>
    <w:qFormat/>
    <w:rsid w:val="00003F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03FF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03FF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03FF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03FF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03FFF"/>
    <w:rPr>
      <w:i/>
      <w:iCs/>
      <w:color w:val="404040" w:themeColor="text1" w:themeTint="BF"/>
    </w:rPr>
  </w:style>
  <w:style w:type="paragraph" w:styleId="Listenabsatz">
    <w:name w:val="List Paragraph"/>
    <w:basedOn w:val="Standard"/>
    <w:qFormat/>
    <w:rsid w:val="00003FFF"/>
    <w:pPr>
      <w:ind w:left="720"/>
      <w:contextualSpacing/>
    </w:pPr>
  </w:style>
  <w:style w:type="character" w:styleId="IntensiveHervorhebung">
    <w:name w:val="Intense Emphasis"/>
    <w:basedOn w:val="Absatz-Standardschriftart"/>
    <w:uiPriority w:val="21"/>
    <w:qFormat/>
    <w:rsid w:val="00003FFF"/>
    <w:rPr>
      <w:i/>
      <w:iCs/>
      <w:color w:val="0F4761" w:themeColor="accent1" w:themeShade="BF"/>
    </w:rPr>
  </w:style>
  <w:style w:type="paragraph" w:styleId="IntensivesZitat">
    <w:name w:val="Intense Quote"/>
    <w:basedOn w:val="Standard"/>
    <w:next w:val="Standard"/>
    <w:link w:val="IntensivesZitatZchn"/>
    <w:uiPriority w:val="30"/>
    <w:qFormat/>
    <w:rsid w:val="00003F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03FFF"/>
    <w:rPr>
      <w:i/>
      <w:iCs/>
      <w:color w:val="0F4761" w:themeColor="accent1" w:themeShade="BF"/>
    </w:rPr>
  </w:style>
  <w:style w:type="character" w:styleId="IntensiverVerweis">
    <w:name w:val="Intense Reference"/>
    <w:basedOn w:val="Absatz-Standardschriftart"/>
    <w:uiPriority w:val="32"/>
    <w:qFormat/>
    <w:rsid w:val="00003FFF"/>
    <w:rPr>
      <w:b/>
      <w:bCs/>
      <w:smallCaps/>
      <w:color w:val="0F4761" w:themeColor="accent1" w:themeShade="BF"/>
      <w:spacing w:val="5"/>
    </w:rPr>
  </w:style>
  <w:style w:type="character" w:styleId="Fett">
    <w:name w:val="Strong"/>
    <w:basedOn w:val="Absatz-Standardschriftart"/>
    <w:uiPriority w:val="22"/>
    <w:qFormat/>
    <w:rsid w:val="0006029C"/>
    <w:rPr>
      <w:b/>
    </w:rPr>
  </w:style>
  <w:style w:type="character" w:styleId="Hyperlink">
    <w:name w:val="Hyperlink"/>
    <w:basedOn w:val="Absatz-Standardschriftart"/>
    <w:uiPriority w:val="99"/>
    <w:unhideWhenUsed/>
    <w:rsid w:val="00AF6267"/>
    <w:rPr>
      <w:color w:val="467886" w:themeColor="hyperlink"/>
      <w:u w:val="single"/>
    </w:rPr>
  </w:style>
  <w:style w:type="table" w:styleId="Tabellenraster">
    <w:name w:val="Table Grid"/>
    <w:basedOn w:val="NormaleTabelle"/>
    <w:uiPriority w:val="39"/>
    <w:rsid w:val="00AF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DE245F"/>
    <w:pPr>
      <w:spacing w:before="100" w:beforeAutospacing="1" w:after="100" w:afterAutospacing="1" w:line="240" w:lineRule="auto"/>
    </w:pPr>
    <w:rPr>
      <w:rFonts w:ascii="Times New Roman" w:eastAsia="Times New Roman" w:hAnsi="Times New Roman" w:cs="Times New Roman"/>
      <w:kern w:val="0"/>
      <w:lang w:val="de-DE" w:eastAsia="de-DE"/>
      <w14:ligatures w14:val="none"/>
    </w:rPr>
  </w:style>
  <w:style w:type="character" w:styleId="Hervorhebung">
    <w:name w:val="Emphasis"/>
    <w:basedOn w:val="Absatz-Standardschriftart"/>
    <w:uiPriority w:val="20"/>
    <w:qFormat/>
    <w:rsid w:val="00DE245F"/>
    <w:rPr>
      <w:i/>
      <w:iCs/>
    </w:rPr>
  </w:style>
  <w:style w:type="character" w:styleId="NichtaufgelsteErwhnung">
    <w:name w:val="Unresolved Mention"/>
    <w:basedOn w:val="Absatz-Standardschriftart"/>
    <w:uiPriority w:val="99"/>
    <w:semiHidden/>
    <w:unhideWhenUsed/>
    <w:rsid w:val="006E5E7B"/>
    <w:rPr>
      <w:color w:val="605E5C"/>
      <w:shd w:val="clear" w:color="auto" w:fill="E1DFDD"/>
    </w:rPr>
  </w:style>
  <w:style w:type="paragraph" w:customStyle="1" w:styleId="Default">
    <w:name w:val="Default"/>
    <w:rsid w:val="003654D6"/>
    <w:pPr>
      <w:autoSpaceDE w:val="0"/>
      <w:autoSpaceDN w:val="0"/>
      <w:adjustRightInd w:val="0"/>
      <w:spacing w:after="0" w:line="240" w:lineRule="auto"/>
    </w:pPr>
    <w:rPr>
      <w:rFonts w:ascii="Aptos" w:hAnsi="Aptos" w:cs="Aptos"/>
      <w:color w:val="000000"/>
      <w:kern w:val="0"/>
      <w:lang w:val="de-DE"/>
    </w:rPr>
  </w:style>
  <w:style w:type="character" w:styleId="Kommentarzeichen">
    <w:name w:val="annotation reference"/>
    <w:basedOn w:val="Absatz-Standardschriftart"/>
    <w:uiPriority w:val="99"/>
    <w:semiHidden/>
    <w:unhideWhenUsed/>
    <w:rsid w:val="00705A4F"/>
    <w:rPr>
      <w:sz w:val="16"/>
      <w:szCs w:val="16"/>
    </w:rPr>
  </w:style>
  <w:style w:type="paragraph" w:styleId="Kommentartext">
    <w:name w:val="annotation text"/>
    <w:basedOn w:val="Standard"/>
    <w:link w:val="KommentartextZchn"/>
    <w:uiPriority w:val="99"/>
    <w:unhideWhenUsed/>
    <w:rsid w:val="00705A4F"/>
    <w:pPr>
      <w:spacing w:line="240" w:lineRule="auto"/>
    </w:pPr>
    <w:rPr>
      <w:sz w:val="20"/>
      <w:szCs w:val="20"/>
    </w:rPr>
  </w:style>
  <w:style w:type="character" w:customStyle="1" w:styleId="KommentartextZchn">
    <w:name w:val="Kommentartext Zchn"/>
    <w:basedOn w:val="Absatz-Standardschriftart"/>
    <w:link w:val="Kommentartext"/>
    <w:uiPriority w:val="99"/>
    <w:rsid w:val="00705A4F"/>
    <w:rPr>
      <w:sz w:val="20"/>
      <w:szCs w:val="20"/>
    </w:rPr>
  </w:style>
  <w:style w:type="paragraph" w:styleId="Kommentarthema">
    <w:name w:val="annotation subject"/>
    <w:basedOn w:val="Kommentartext"/>
    <w:next w:val="Kommentartext"/>
    <w:link w:val="KommentarthemaZchn"/>
    <w:uiPriority w:val="99"/>
    <w:semiHidden/>
    <w:unhideWhenUsed/>
    <w:rsid w:val="00705A4F"/>
    <w:rPr>
      <w:b/>
      <w:bCs/>
    </w:rPr>
  </w:style>
  <w:style w:type="character" w:customStyle="1" w:styleId="KommentarthemaZchn">
    <w:name w:val="Kommentarthema Zchn"/>
    <w:basedOn w:val="KommentartextZchn"/>
    <w:link w:val="Kommentarthema"/>
    <w:uiPriority w:val="99"/>
    <w:semiHidden/>
    <w:rsid w:val="00705A4F"/>
    <w:rPr>
      <w:b/>
      <w:bCs/>
      <w:sz w:val="20"/>
      <w:szCs w:val="20"/>
    </w:rPr>
  </w:style>
  <w:style w:type="paragraph" w:styleId="berarbeitung">
    <w:name w:val="Revision"/>
    <w:hidden/>
    <w:uiPriority w:val="99"/>
    <w:semiHidden/>
    <w:rsid w:val="00705A4F"/>
    <w:pPr>
      <w:spacing w:after="0" w:line="240" w:lineRule="auto"/>
    </w:pPr>
  </w:style>
  <w:style w:type="paragraph" w:styleId="Kopfzeile">
    <w:name w:val="header"/>
    <w:basedOn w:val="Standard"/>
    <w:link w:val="KopfzeileZchn"/>
    <w:uiPriority w:val="99"/>
    <w:unhideWhenUsed/>
    <w:rsid w:val="00AE51F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AE51FC"/>
  </w:style>
  <w:style w:type="paragraph" w:styleId="Fuzeile">
    <w:name w:val="footer"/>
    <w:basedOn w:val="Standard"/>
    <w:link w:val="FuzeileZchn"/>
    <w:uiPriority w:val="99"/>
    <w:unhideWhenUsed/>
    <w:rsid w:val="00AE51FC"/>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AE51FC"/>
  </w:style>
  <w:style w:type="character" w:customStyle="1" w:styleId="whitespace-normal">
    <w:name w:val="whitespace-normal"/>
    <w:basedOn w:val="Absatz-Standardschriftart"/>
    <w:rsid w:val="00EB6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02146120">
      <w:bodyDiv w:val="1"/>
      <w:marLeft w:val="0"/>
      <w:marRight w:val="0"/>
      <w:marTop w:val="0"/>
      <w:marBottom w:val="0"/>
      <w:divBdr>
        <w:top w:val="none" w:sz="0" w:space="0" w:color="auto"/>
        <w:left w:val="none" w:sz="0" w:space="0" w:color="auto"/>
        <w:bottom w:val="none" w:sz="0" w:space="0" w:color="auto"/>
        <w:right w:val="none" w:sz="0" w:space="0" w:color="auto"/>
      </w:divBdr>
    </w:div>
    <w:div w:id="730233962">
      <w:bodyDiv w:val="1"/>
      <w:marLeft w:val="0"/>
      <w:marRight w:val="0"/>
      <w:marTop w:val="0"/>
      <w:marBottom w:val="0"/>
      <w:divBdr>
        <w:top w:val="none" w:sz="0" w:space="0" w:color="auto"/>
        <w:left w:val="none" w:sz="0" w:space="0" w:color="auto"/>
        <w:bottom w:val="none" w:sz="0" w:space="0" w:color="auto"/>
        <w:right w:val="none" w:sz="0" w:space="0" w:color="auto"/>
      </w:divBdr>
    </w:div>
    <w:div w:id="958607358">
      <w:bodyDiv w:val="1"/>
      <w:marLeft w:val="0"/>
      <w:marRight w:val="0"/>
      <w:marTop w:val="0"/>
      <w:marBottom w:val="0"/>
      <w:divBdr>
        <w:top w:val="none" w:sz="0" w:space="0" w:color="auto"/>
        <w:left w:val="none" w:sz="0" w:space="0" w:color="auto"/>
        <w:bottom w:val="none" w:sz="0" w:space="0" w:color="auto"/>
        <w:right w:val="none" w:sz="0" w:space="0" w:color="auto"/>
      </w:divBdr>
    </w:div>
    <w:div w:id="182373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6.emf"/><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867E0A719F3D3419B08C21D52AAE834" ma:contentTypeVersion="16" ma:contentTypeDescription="Ein neues Dokument erstellen." ma:contentTypeScope="" ma:versionID="67b5a1ac6aaa9e9ba49fc6c0f9fbbfa9">
  <xsd:schema xmlns:xsd="http://www.w3.org/2001/XMLSchema" xmlns:xs="http://www.w3.org/2001/XMLSchema" xmlns:p="http://schemas.microsoft.com/office/2006/metadata/properties" xmlns:ns2="39b01948-1a7f-4d32-9aae-f85661781d3f" xmlns:ns3="a8770ef5-b124-47ed-a22d-c3fdba76d90d" targetNamespace="http://schemas.microsoft.com/office/2006/metadata/properties" ma:root="true" ma:fieldsID="f66ada5effcff8cd87a6df06e57d03af" ns2:_="" ns3:_="">
    <xsd:import namespace="39b01948-1a7f-4d32-9aae-f85661781d3f"/>
    <xsd:import namespace="a8770ef5-b124-47ed-a22d-c3fdba76d9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b01948-1a7f-4d32-9aae-f85661781d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5e923dd0-dda7-49ea-a147-70e574505091"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770ef5-b124-47ed-a22d-c3fdba76d90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d7cfbf8c-bdd9-4866-b394-2c5b22003553}" ma:internalName="TaxCatchAll" ma:showField="CatchAllData" ma:web="a8770ef5-b124-47ed-a22d-c3fdba76d9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8770ef5-b124-47ed-a22d-c3fdba76d90d" xsi:nil="true"/>
    <lcf76f155ced4ddcb4097134ff3c332f xmlns="39b01948-1a7f-4d32-9aae-f85661781d3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17DB90-7B7E-47B2-B784-4EC6D9E33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b01948-1a7f-4d32-9aae-f85661781d3f"/>
    <ds:schemaRef ds:uri="a8770ef5-b124-47ed-a22d-c3fdba76d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85033D-4433-46AE-9E66-CBC718A5CA32}">
  <ds:schemaRefs>
    <ds:schemaRef ds:uri="http://schemas.microsoft.com/office/2006/metadata/properties"/>
    <ds:schemaRef ds:uri="http://schemas.microsoft.com/office/infopath/2007/PartnerControls"/>
    <ds:schemaRef ds:uri="a8770ef5-b124-47ed-a22d-c3fdba76d90d"/>
    <ds:schemaRef ds:uri="39b01948-1a7f-4d32-9aae-f85661781d3f"/>
  </ds:schemaRefs>
</ds:datastoreItem>
</file>

<file path=customXml/itemProps3.xml><?xml version="1.0" encoding="utf-8"?>
<ds:datastoreItem xmlns:ds="http://schemas.openxmlformats.org/officeDocument/2006/customXml" ds:itemID="{1FC7DE81-4B6E-4ECB-A716-BF382ECEB1E8}">
  <ds:schemaRefs>
    <ds:schemaRef ds:uri="http://schemas.microsoft.com/sharepoint/v3/contenttype/forms"/>
  </ds:schemaRefs>
</ds:datastoreItem>
</file>

<file path=docMetadata/LabelInfo.xml><?xml version="1.0" encoding="utf-8"?>
<clbl:labelList xmlns:clbl="http://schemas.microsoft.com/office/2020/mipLabelMetadata">
  <clbl:label id="{d430f0b8-e30e-4a8d-b589-3f97a9617219}" enabled="0" method="" siteId="{d430f0b8-e30e-4a8d-b589-3f97a9617219}"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1045</Words>
  <Characters>6585</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Ursula Wirth Consulting</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Wirth</dc:creator>
  <cp:keywords/>
  <dc:description/>
  <cp:lastModifiedBy>Ursula Wirth</cp:lastModifiedBy>
  <cp:revision>3</cp:revision>
  <dcterms:created xsi:type="dcterms:W3CDTF">2026-08-18T08:54:00Z</dcterms:created>
  <dcterms:modified xsi:type="dcterms:W3CDTF">2026-08-18T09:09:00Z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0x0101004867E0A719F3D3419B08C21D52AAE834</vt:lpwstr>
  </property>
  <property fmtid="{D5CDD505-2E9C-101B-9397-08002B2CF9AE}" pid="3" name="MediaServiceImageTags">
    <vt:lpwstr/>
  </property>
</Properties>
</file>