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5E567" w14:textId="442BF0F6" w:rsidR="00C60F6B" w:rsidRPr="00010350" w:rsidRDefault="00010350" w:rsidP="00ED3BBC">
      <w:pPr>
        <w:spacing w:line="276" w:lineRule="auto"/>
        <w:rPr>
          <w:rFonts w:ascii="Arial" w:hAnsi="Arial" w:cs="Arial"/>
          <w:b/>
          <w:sz w:val="28"/>
          <w:szCs w:val="28"/>
          <w:lang w:val="en-US"/>
        </w:rPr>
      </w:pPr>
      <w:r w:rsidRPr="00010350">
        <w:rPr>
          <w:rFonts w:ascii="Arial" w:hAnsi="Arial" w:cs="Arial"/>
          <w:b/>
          <w:sz w:val="28"/>
          <w:szCs w:val="28"/>
          <w:lang w:val="en-US"/>
        </w:rPr>
        <w:t>Researchers discover key to new treatment approaches for rheumatic diseases</w:t>
      </w:r>
    </w:p>
    <w:p w14:paraId="4405C12D" w14:textId="4CAC002B" w:rsidR="00B05B61" w:rsidRPr="00010350" w:rsidRDefault="00010350" w:rsidP="00ED3BBC">
      <w:pPr>
        <w:spacing w:line="276" w:lineRule="auto"/>
        <w:rPr>
          <w:rFonts w:ascii="Arial" w:hAnsi="Arial" w:cs="Arial"/>
          <w:b/>
          <w:color w:val="000000"/>
          <w:lang w:val="en-US"/>
        </w:rPr>
      </w:pPr>
      <w:r>
        <w:rPr>
          <w:rFonts w:ascii="Arial" w:hAnsi="Arial" w:cs="Arial"/>
          <w:b/>
          <w:color w:val="000000"/>
          <w:lang w:val="en-US"/>
        </w:rPr>
        <w:t xml:space="preserve">The standard treatment for many </w:t>
      </w:r>
      <w:r w:rsidR="00B05B61" w:rsidRPr="00010350">
        <w:rPr>
          <w:rFonts w:ascii="Arial" w:hAnsi="Arial" w:cs="Arial"/>
          <w:b/>
          <w:color w:val="000000"/>
          <w:lang w:val="en-US"/>
        </w:rPr>
        <w:t xml:space="preserve">rheumatic diseases </w:t>
      </w:r>
      <w:proofErr w:type="gramStart"/>
      <w:r w:rsidR="00B05B61" w:rsidRPr="00010350">
        <w:rPr>
          <w:rFonts w:ascii="Arial" w:hAnsi="Arial" w:cs="Arial"/>
          <w:b/>
          <w:color w:val="000000"/>
          <w:lang w:val="en-US"/>
        </w:rPr>
        <w:t>are</w:t>
      </w:r>
      <w:proofErr w:type="gramEnd"/>
      <w:r w:rsidR="00B05B61" w:rsidRPr="00010350">
        <w:rPr>
          <w:rFonts w:ascii="Arial" w:hAnsi="Arial" w:cs="Arial"/>
          <w:b/>
          <w:color w:val="000000"/>
          <w:lang w:val="en-US"/>
        </w:rPr>
        <w:t xml:space="preserve"> corticosteroids. However, patients often develop resistance or suffer from severe side effects. </w:t>
      </w:r>
      <w:r>
        <w:rPr>
          <w:rFonts w:ascii="Arial" w:hAnsi="Arial" w:cs="Arial"/>
          <w:b/>
          <w:color w:val="000000"/>
          <w:lang w:val="en-US"/>
        </w:rPr>
        <w:t>This prompted r</w:t>
      </w:r>
      <w:r w:rsidR="00B05B61" w:rsidRPr="00010350">
        <w:rPr>
          <w:rFonts w:ascii="Arial" w:hAnsi="Arial" w:cs="Arial"/>
          <w:b/>
          <w:color w:val="000000"/>
          <w:lang w:val="en-US"/>
        </w:rPr>
        <w:t xml:space="preserve">esearchers at the Medical University of Innsbruck </w:t>
      </w:r>
      <w:r>
        <w:rPr>
          <w:rFonts w:ascii="Arial" w:hAnsi="Arial" w:cs="Arial"/>
          <w:b/>
          <w:color w:val="000000"/>
          <w:lang w:val="en-US"/>
        </w:rPr>
        <w:t>to</w:t>
      </w:r>
      <w:r w:rsidR="00B05B61" w:rsidRPr="00010350">
        <w:rPr>
          <w:rFonts w:ascii="Arial" w:hAnsi="Arial" w:cs="Arial"/>
          <w:b/>
          <w:color w:val="000000"/>
          <w:lang w:val="en-US"/>
        </w:rPr>
        <w:t xml:space="preserve"> work on new treatment methods that reduce inflammation </w:t>
      </w:r>
      <w:r>
        <w:rPr>
          <w:rFonts w:ascii="Arial" w:hAnsi="Arial" w:cs="Arial"/>
          <w:b/>
          <w:color w:val="000000"/>
          <w:lang w:val="en-US"/>
        </w:rPr>
        <w:t>in</w:t>
      </w:r>
      <w:r w:rsidR="00561D56" w:rsidRPr="00010350">
        <w:rPr>
          <w:rFonts w:ascii="Arial" w:hAnsi="Arial" w:cs="Arial"/>
          <w:b/>
          <w:color w:val="000000"/>
          <w:lang w:val="en-US"/>
        </w:rPr>
        <w:t xml:space="preserve"> specific conditions </w:t>
      </w:r>
      <w:r w:rsidR="00B05B61" w:rsidRPr="00010350">
        <w:rPr>
          <w:rFonts w:ascii="Arial" w:hAnsi="Arial" w:cs="Arial"/>
          <w:b/>
          <w:color w:val="000000"/>
          <w:lang w:val="en-US"/>
        </w:rPr>
        <w:t>in a more targeted manner.</w:t>
      </w:r>
    </w:p>
    <w:p w14:paraId="2BD0A47B" w14:textId="77777777" w:rsidR="00321B47" w:rsidRPr="00010350" w:rsidRDefault="00321B47" w:rsidP="00ED3BBC">
      <w:pPr>
        <w:spacing w:line="276" w:lineRule="auto"/>
        <w:rPr>
          <w:rFonts w:ascii="Arial" w:hAnsi="Arial" w:cs="Arial"/>
          <w:b/>
          <w:lang w:val="en-US"/>
        </w:rPr>
      </w:pPr>
    </w:p>
    <w:p w14:paraId="7E42C0F2" w14:textId="085C1ABA" w:rsidR="00B05B61" w:rsidRPr="00010350" w:rsidRDefault="00010350" w:rsidP="00ED3BBC">
      <w:pPr>
        <w:spacing w:line="276" w:lineRule="auto"/>
        <w:rPr>
          <w:rFonts w:ascii="Arial" w:hAnsi="Arial" w:cs="Arial"/>
          <w:color w:val="000000"/>
          <w:lang w:val="en-US"/>
        </w:rPr>
      </w:pPr>
      <w:r>
        <w:rPr>
          <w:rFonts w:ascii="Arial" w:hAnsi="Arial" w:cs="Arial"/>
          <w:color w:val="000000"/>
          <w:lang w:val="en-US"/>
        </w:rPr>
        <w:t xml:space="preserve">What we call </w:t>
      </w:r>
      <w:r w:rsidR="00B05B61" w:rsidRPr="00010350">
        <w:rPr>
          <w:rFonts w:ascii="Arial" w:hAnsi="Arial" w:cs="Arial"/>
          <w:color w:val="000000"/>
          <w:lang w:val="en-US"/>
        </w:rPr>
        <w:t xml:space="preserve">“rheumatism” </w:t>
      </w:r>
      <w:r>
        <w:rPr>
          <w:rFonts w:ascii="Arial" w:hAnsi="Arial" w:cs="Arial"/>
          <w:color w:val="000000"/>
          <w:lang w:val="en-US"/>
        </w:rPr>
        <w:t xml:space="preserve">in everyday language </w:t>
      </w:r>
      <w:r w:rsidR="00B05B61" w:rsidRPr="00010350">
        <w:rPr>
          <w:rFonts w:ascii="Arial" w:hAnsi="Arial" w:cs="Arial"/>
          <w:color w:val="000000"/>
          <w:lang w:val="en-US"/>
        </w:rPr>
        <w:t xml:space="preserve">encompasses hundreds of different conditions. </w:t>
      </w:r>
      <w:r>
        <w:rPr>
          <w:rFonts w:ascii="Arial" w:hAnsi="Arial" w:cs="Arial"/>
          <w:color w:val="000000"/>
          <w:lang w:val="en-US"/>
        </w:rPr>
        <w:t>The common denominator between them is</w:t>
      </w:r>
      <w:r w:rsidR="00B05B61" w:rsidRPr="00010350">
        <w:rPr>
          <w:rFonts w:ascii="Arial" w:hAnsi="Arial" w:cs="Arial"/>
          <w:color w:val="000000"/>
          <w:lang w:val="en-US"/>
        </w:rPr>
        <w:t xml:space="preserve"> that they </w:t>
      </w:r>
      <w:r>
        <w:rPr>
          <w:rFonts w:ascii="Arial" w:hAnsi="Arial" w:cs="Arial"/>
          <w:color w:val="000000"/>
          <w:lang w:val="en-US"/>
        </w:rPr>
        <w:t>hamper</w:t>
      </w:r>
      <w:r w:rsidR="00B05B61" w:rsidRPr="00010350">
        <w:rPr>
          <w:rFonts w:ascii="Arial" w:hAnsi="Arial" w:cs="Arial"/>
          <w:color w:val="000000"/>
          <w:lang w:val="en-US"/>
        </w:rPr>
        <w:t xml:space="preserve"> movement and cause pain. One of these many rheumatic diseases is polymyalgia rheumatica (</w:t>
      </w:r>
      <w:r>
        <w:rPr>
          <w:rFonts w:ascii="Arial" w:hAnsi="Arial" w:cs="Arial"/>
          <w:color w:val="000000"/>
          <w:lang w:val="en-US"/>
        </w:rPr>
        <w:t xml:space="preserve">PMR), which is characterized by </w:t>
      </w:r>
      <w:r w:rsidR="00B05B61" w:rsidRPr="00010350">
        <w:rPr>
          <w:rFonts w:ascii="Arial" w:hAnsi="Arial" w:cs="Arial"/>
          <w:color w:val="000000"/>
          <w:lang w:val="en-US"/>
        </w:rPr>
        <w:t xml:space="preserve">pain and stiffness primarily in the shoulder and pelvic regions. </w:t>
      </w:r>
      <w:r w:rsidR="00521A66" w:rsidRPr="00010350">
        <w:rPr>
          <w:rFonts w:ascii="Arial" w:hAnsi="Arial" w:cs="Arial"/>
          <w:color w:val="000000"/>
          <w:lang w:val="en-US"/>
        </w:rPr>
        <w:t xml:space="preserve">The underlying inflammatory processes </w:t>
      </w:r>
      <w:r w:rsidR="00B05B61" w:rsidRPr="00010350">
        <w:rPr>
          <w:rFonts w:ascii="Arial" w:hAnsi="Arial" w:cs="Arial"/>
          <w:color w:val="000000"/>
          <w:lang w:val="en-US"/>
        </w:rPr>
        <w:t xml:space="preserve">usually affect </w:t>
      </w:r>
      <w:r w:rsidR="00B05B61" w:rsidRPr="00010350">
        <w:rPr>
          <w:rFonts w:ascii="Arial" w:hAnsi="Arial" w:cs="Arial"/>
          <w:lang w:val="en-US"/>
        </w:rPr>
        <w:t>the tissue surrounding the joints</w:t>
      </w:r>
      <w:r>
        <w:rPr>
          <w:rFonts w:ascii="Arial" w:hAnsi="Arial" w:cs="Arial"/>
          <w:lang w:val="en-US"/>
        </w:rPr>
        <w:t xml:space="preserve"> –</w:t>
      </w:r>
      <w:r w:rsidR="00E6720C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 xml:space="preserve">unlike </w:t>
      </w:r>
      <w:r w:rsidR="00B05B61" w:rsidRPr="00010350">
        <w:rPr>
          <w:rFonts w:ascii="Arial" w:hAnsi="Arial" w:cs="Arial"/>
          <w:lang w:val="en-US"/>
        </w:rPr>
        <w:t xml:space="preserve">arthritis, </w:t>
      </w:r>
      <w:r>
        <w:rPr>
          <w:rFonts w:ascii="Arial" w:hAnsi="Arial" w:cs="Arial"/>
          <w:lang w:val="en-US"/>
        </w:rPr>
        <w:t xml:space="preserve">which affects </w:t>
      </w:r>
      <w:r w:rsidR="00B05B61" w:rsidRPr="00010350">
        <w:rPr>
          <w:rFonts w:ascii="Arial" w:hAnsi="Arial" w:cs="Arial"/>
          <w:lang w:val="en-US"/>
        </w:rPr>
        <w:t xml:space="preserve">the </w:t>
      </w:r>
      <w:r w:rsidR="00B05B61" w:rsidRPr="00010350">
        <w:rPr>
          <w:rFonts w:ascii="Arial" w:hAnsi="Arial" w:cs="Arial"/>
          <w:color w:val="000000"/>
          <w:lang w:val="en-US"/>
        </w:rPr>
        <w:t>interior of the joint</w:t>
      </w:r>
      <w:r w:rsidR="00B05B61" w:rsidRPr="00010350">
        <w:rPr>
          <w:rFonts w:ascii="Arial" w:hAnsi="Arial" w:cs="Arial"/>
          <w:lang w:val="en-US"/>
        </w:rPr>
        <w:t xml:space="preserve"> itself</w:t>
      </w:r>
      <w:r w:rsidR="00B05B61" w:rsidRPr="00010350">
        <w:rPr>
          <w:rFonts w:ascii="Arial" w:hAnsi="Arial" w:cs="Arial"/>
          <w:color w:val="000000"/>
          <w:lang w:val="en-US"/>
        </w:rPr>
        <w:t xml:space="preserve">. </w:t>
      </w:r>
      <w:r>
        <w:rPr>
          <w:rFonts w:ascii="Arial" w:hAnsi="Arial" w:cs="Arial"/>
          <w:color w:val="000000"/>
          <w:lang w:val="en-US"/>
        </w:rPr>
        <w:t xml:space="preserve">In almost all cases, the people concerned are </w:t>
      </w:r>
      <w:r w:rsidR="00B05B61" w:rsidRPr="00010350">
        <w:rPr>
          <w:rFonts w:ascii="Arial" w:hAnsi="Arial" w:cs="Arial"/>
          <w:color w:val="000000"/>
          <w:lang w:val="en-US"/>
        </w:rPr>
        <w:t>over the age of 50</w:t>
      </w:r>
      <w:r>
        <w:rPr>
          <w:rFonts w:ascii="Arial" w:hAnsi="Arial" w:cs="Arial"/>
          <w:color w:val="000000"/>
          <w:lang w:val="en-US"/>
        </w:rPr>
        <w:t>, and w</w:t>
      </w:r>
      <w:r w:rsidR="00B05B61" w:rsidRPr="00010350">
        <w:rPr>
          <w:rFonts w:ascii="Arial" w:hAnsi="Arial" w:cs="Arial"/>
          <w:color w:val="000000"/>
          <w:lang w:val="en-US"/>
        </w:rPr>
        <w:t xml:space="preserve">omen are </w:t>
      </w:r>
      <w:r w:rsidR="006B21D8" w:rsidRPr="00010350">
        <w:rPr>
          <w:rFonts w:ascii="Arial" w:hAnsi="Arial" w:cs="Arial"/>
          <w:color w:val="000000"/>
          <w:lang w:val="en-US"/>
        </w:rPr>
        <w:t xml:space="preserve">two </w:t>
      </w:r>
      <w:r w:rsidR="00C627DF" w:rsidRPr="00010350">
        <w:rPr>
          <w:rFonts w:ascii="Arial" w:hAnsi="Arial" w:cs="Arial"/>
          <w:color w:val="000000"/>
          <w:lang w:val="en-US"/>
        </w:rPr>
        <w:t xml:space="preserve">to </w:t>
      </w:r>
      <w:r w:rsidR="00B05B61" w:rsidRPr="00010350">
        <w:rPr>
          <w:rFonts w:ascii="Arial" w:hAnsi="Arial" w:cs="Arial"/>
          <w:color w:val="000000"/>
          <w:lang w:val="en-US"/>
        </w:rPr>
        <w:t xml:space="preserve">three times more likely to be affected than men. </w:t>
      </w:r>
      <w:r w:rsidR="00B26C9F" w:rsidRPr="00010350">
        <w:rPr>
          <w:rFonts w:ascii="Arial" w:hAnsi="Arial" w:cs="Arial"/>
          <w:color w:val="000000"/>
          <w:lang w:val="en-US"/>
        </w:rPr>
        <w:t xml:space="preserve">At the same time, there is a </w:t>
      </w:r>
      <w:r>
        <w:rPr>
          <w:rFonts w:ascii="Arial" w:hAnsi="Arial" w:cs="Arial"/>
          <w:color w:val="000000"/>
          <w:lang w:val="en-US"/>
        </w:rPr>
        <w:t>pronounced</w:t>
      </w:r>
      <w:r w:rsidR="00B26C9F" w:rsidRPr="00010350">
        <w:rPr>
          <w:rFonts w:ascii="Arial" w:hAnsi="Arial" w:cs="Arial"/>
          <w:color w:val="000000"/>
          <w:lang w:val="en-US"/>
        </w:rPr>
        <w:t xml:space="preserve"> north-south gradient, with most cases occurring in northern countries. </w:t>
      </w:r>
      <w:r w:rsidR="00B97112">
        <w:rPr>
          <w:rFonts w:ascii="Arial" w:hAnsi="Arial" w:cs="Arial"/>
          <w:color w:val="000000"/>
          <w:lang w:val="en-US"/>
        </w:rPr>
        <w:t xml:space="preserve">Among the reasons medics </w:t>
      </w:r>
      <w:r>
        <w:rPr>
          <w:rFonts w:ascii="Arial" w:hAnsi="Arial" w:cs="Arial"/>
          <w:color w:val="000000"/>
          <w:lang w:val="en-US"/>
        </w:rPr>
        <w:t>assume</w:t>
      </w:r>
      <w:r w:rsidR="00B97112">
        <w:rPr>
          <w:rFonts w:ascii="Arial" w:hAnsi="Arial" w:cs="Arial"/>
          <w:color w:val="000000"/>
          <w:lang w:val="en-US"/>
        </w:rPr>
        <w:t xml:space="preserve"> to be responsible are</w:t>
      </w:r>
      <w:r>
        <w:rPr>
          <w:rFonts w:ascii="Arial" w:hAnsi="Arial" w:cs="Arial"/>
          <w:color w:val="000000"/>
          <w:lang w:val="en-US"/>
        </w:rPr>
        <w:t xml:space="preserve"> </w:t>
      </w:r>
      <w:r w:rsidR="00B26C9F" w:rsidRPr="00010350">
        <w:rPr>
          <w:rFonts w:ascii="Arial" w:hAnsi="Arial" w:cs="Arial"/>
          <w:color w:val="000000"/>
          <w:lang w:val="en-US"/>
        </w:rPr>
        <w:t xml:space="preserve">genetic factors, UV radiation, and vitamin D levels. </w:t>
      </w:r>
      <w:r w:rsidR="00B05B61" w:rsidRPr="00010350">
        <w:rPr>
          <w:rFonts w:ascii="Arial" w:hAnsi="Arial" w:cs="Arial"/>
          <w:color w:val="000000"/>
          <w:lang w:val="en-US"/>
        </w:rPr>
        <w:t xml:space="preserve">PMR often occurs simultaneously with the closely related giant cell arteritis (GCA), an inflammation of the blood vessels. If </w:t>
      </w:r>
      <w:r w:rsidR="00B97112">
        <w:rPr>
          <w:rFonts w:ascii="Arial" w:hAnsi="Arial" w:cs="Arial"/>
          <w:color w:val="000000"/>
          <w:lang w:val="en-US"/>
        </w:rPr>
        <w:t xml:space="preserve">the </w:t>
      </w:r>
      <w:r w:rsidR="00B05B61" w:rsidRPr="00010350">
        <w:rPr>
          <w:rFonts w:ascii="Arial" w:hAnsi="Arial" w:cs="Arial"/>
          <w:color w:val="000000"/>
          <w:lang w:val="en-US"/>
        </w:rPr>
        <w:t>arteries of the eyes</w:t>
      </w:r>
      <w:r w:rsidR="00B97112">
        <w:rPr>
          <w:rFonts w:ascii="Arial" w:hAnsi="Arial" w:cs="Arial"/>
          <w:color w:val="000000"/>
          <w:lang w:val="en-US"/>
        </w:rPr>
        <w:t xml:space="preserve"> are affected</w:t>
      </w:r>
      <w:r w:rsidR="00B05B61" w:rsidRPr="00010350">
        <w:rPr>
          <w:rFonts w:ascii="Arial" w:hAnsi="Arial" w:cs="Arial"/>
          <w:color w:val="000000"/>
          <w:lang w:val="en-US"/>
        </w:rPr>
        <w:t xml:space="preserve">, </w:t>
      </w:r>
      <w:r w:rsidR="00B97112">
        <w:rPr>
          <w:rFonts w:ascii="Arial" w:hAnsi="Arial" w:cs="Arial"/>
          <w:color w:val="000000"/>
          <w:lang w:val="en-US"/>
        </w:rPr>
        <w:t>this</w:t>
      </w:r>
      <w:r w:rsidR="00B05B61" w:rsidRPr="00010350">
        <w:rPr>
          <w:rFonts w:ascii="Arial" w:hAnsi="Arial" w:cs="Arial"/>
          <w:color w:val="000000"/>
          <w:lang w:val="en-US"/>
        </w:rPr>
        <w:t xml:space="preserve"> constitutes a medical emergency </w:t>
      </w:r>
      <w:r w:rsidR="00A11151" w:rsidRPr="00010350">
        <w:rPr>
          <w:rFonts w:ascii="Arial" w:hAnsi="Arial" w:cs="Arial"/>
          <w:lang w:val="en-US"/>
        </w:rPr>
        <w:t xml:space="preserve">that </w:t>
      </w:r>
      <w:r w:rsidR="009E74E5" w:rsidRPr="00010350">
        <w:rPr>
          <w:rFonts w:ascii="Arial" w:hAnsi="Arial" w:cs="Arial"/>
          <w:color w:val="000000"/>
          <w:lang w:val="en-US"/>
        </w:rPr>
        <w:t>can lead to</w:t>
      </w:r>
      <w:r w:rsidR="00B05B61" w:rsidRPr="00010350">
        <w:rPr>
          <w:rFonts w:ascii="Arial" w:hAnsi="Arial" w:cs="Arial"/>
          <w:color w:val="000000"/>
          <w:lang w:val="en-US"/>
        </w:rPr>
        <w:t xml:space="preserve"> permanent blindness. </w:t>
      </w:r>
    </w:p>
    <w:p w14:paraId="61F101F1" w14:textId="58E4725D" w:rsidR="00B05B61" w:rsidRPr="00010350" w:rsidRDefault="00B05B61" w:rsidP="00ED3BBC">
      <w:pPr>
        <w:spacing w:line="276" w:lineRule="auto"/>
        <w:rPr>
          <w:rFonts w:ascii="Arial" w:hAnsi="Arial" w:cs="Arial"/>
          <w:color w:val="000000"/>
          <w:lang w:val="en-US"/>
        </w:rPr>
      </w:pPr>
      <w:r w:rsidRPr="00010350">
        <w:rPr>
          <w:rFonts w:ascii="Arial" w:hAnsi="Arial" w:cs="Arial"/>
          <w:color w:val="000000"/>
          <w:lang w:val="en-US"/>
        </w:rPr>
        <w:t xml:space="preserve">The </w:t>
      </w:r>
      <w:r w:rsidR="00C627DF" w:rsidRPr="00010350">
        <w:rPr>
          <w:rFonts w:ascii="Arial" w:hAnsi="Arial" w:cs="Arial"/>
          <w:color w:val="000000"/>
          <w:lang w:val="en-US"/>
        </w:rPr>
        <w:t xml:space="preserve">exact causes of </w:t>
      </w:r>
      <w:r w:rsidRPr="00010350">
        <w:rPr>
          <w:rFonts w:ascii="Arial" w:hAnsi="Arial" w:cs="Arial"/>
          <w:color w:val="000000"/>
          <w:lang w:val="en-US"/>
        </w:rPr>
        <w:t xml:space="preserve">PMR and GCA </w:t>
      </w:r>
      <w:r w:rsidR="00C627DF" w:rsidRPr="00010350">
        <w:rPr>
          <w:rFonts w:ascii="Arial" w:hAnsi="Arial" w:cs="Arial"/>
          <w:color w:val="000000"/>
          <w:lang w:val="en-US"/>
        </w:rPr>
        <w:t xml:space="preserve">remain </w:t>
      </w:r>
      <w:r w:rsidR="00521A66" w:rsidRPr="00010350">
        <w:rPr>
          <w:rFonts w:ascii="Arial" w:hAnsi="Arial" w:cs="Arial"/>
          <w:color w:val="000000"/>
          <w:lang w:val="en-US"/>
        </w:rPr>
        <w:t>unclear</w:t>
      </w:r>
      <w:r w:rsidRPr="00010350">
        <w:rPr>
          <w:rFonts w:ascii="Arial" w:hAnsi="Arial" w:cs="Arial"/>
          <w:color w:val="000000"/>
          <w:lang w:val="en-US"/>
        </w:rPr>
        <w:t xml:space="preserve"> to this day</w:t>
      </w:r>
      <w:r w:rsidR="00521A66" w:rsidRPr="00010350">
        <w:rPr>
          <w:rFonts w:ascii="Arial" w:hAnsi="Arial" w:cs="Arial"/>
          <w:color w:val="000000"/>
          <w:lang w:val="en-US"/>
        </w:rPr>
        <w:t>. A</w:t>
      </w:r>
      <w:r w:rsidR="00B97112">
        <w:rPr>
          <w:rFonts w:ascii="Arial" w:hAnsi="Arial" w:cs="Arial"/>
          <w:color w:val="000000"/>
          <w:lang w:val="en-US"/>
        </w:rPr>
        <w:t>lso</w:t>
      </w:r>
      <w:r w:rsidR="00521A66" w:rsidRPr="00010350">
        <w:rPr>
          <w:rFonts w:ascii="Arial" w:hAnsi="Arial" w:cs="Arial"/>
          <w:color w:val="000000"/>
          <w:lang w:val="en-US"/>
        </w:rPr>
        <w:t xml:space="preserve">, there is no specific biomarker </w:t>
      </w:r>
      <w:r w:rsidRPr="00010350">
        <w:rPr>
          <w:rFonts w:ascii="Arial" w:hAnsi="Arial" w:cs="Arial"/>
          <w:color w:val="000000"/>
          <w:lang w:val="en-US"/>
        </w:rPr>
        <w:t>for diagnosing PMR</w:t>
      </w:r>
      <w:r w:rsidR="00B97112">
        <w:rPr>
          <w:rFonts w:ascii="Arial" w:hAnsi="Arial" w:cs="Arial"/>
          <w:color w:val="000000"/>
          <w:lang w:val="en-US"/>
        </w:rPr>
        <w:t xml:space="preserve"> – </w:t>
      </w:r>
      <w:r w:rsidRPr="00010350">
        <w:rPr>
          <w:rFonts w:ascii="Arial" w:hAnsi="Arial" w:cs="Arial"/>
          <w:color w:val="000000"/>
          <w:lang w:val="en-US"/>
        </w:rPr>
        <w:t xml:space="preserve">it can only be diagnosed by ruling out other conditions, such as rheumatoid arthritis. The standard treatment for both diseases is corticosteroids such as cortisone. </w:t>
      </w:r>
      <w:r w:rsidR="00B97112">
        <w:rPr>
          <w:rFonts w:ascii="Arial" w:hAnsi="Arial" w:cs="Arial"/>
          <w:color w:val="000000"/>
          <w:lang w:val="en-US"/>
        </w:rPr>
        <w:t>While t</w:t>
      </w:r>
      <w:r w:rsidRPr="00010350">
        <w:rPr>
          <w:rFonts w:ascii="Arial" w:hAnsi="Arial" w:cs="Arial"/>
          <w:color w:val="000000"/>
          <w:lang w:val="en-US"/>
        </w:rPr>
        <w:t>he medications help most</w:t>
      </w:r>
      <w:r w:rsidR="00B97112">
        <w:rPr>
          <w:rFonts w:ascii="Arial" w:hAnsi="Arial" w:cs="Arial"/>
          <w:color w:val="000000"/>
          <w:lang w:val="en-US"/>
        </w:rPr>
        <w:t xml:space="preserve">, albeit </w:t>
      </w:r>
      <w:r w:rsidRPr="00010350">
        <w:rPr>
          <w:rFonts w:ascii="Arial" w:hAnsi="Arial" w:cs="Arial"/>
          <w:color w:val="000000"/>
          <w:lang w:val="en-US"/>
        </w:rPr>
        <w:t>not all</w:t>
      </w:r>
      <w:r w:rsidR="00B97112">
        <w:rPr>
          <w:rFonts w:ascii="Arial" w:hAnsi="Arial" w:cs="Arial"/>
          <w:color w:val="000000"/>
          <w:lang w:val="en-US"/>
        </w:rPr>
        <w:t>, p</w:t>
      </w:r>
      <w:r w:rsidRPr="00010350">
        <w:rPr>
          <w:rFonts w:ascii="Arial" w:hAnsi="Arial" w:cs="Arial"/>
          <w:color w:val="000000"/>
          <w:lang w:val="en-US"/>
        </w:rPr>
        <w:t xml:space="preserve">atients, </w:t>
      </w:r>
      <w:r w:rsidR="00B97112">
        <w:rPr>
          <w:rFonts w:ascii="Arial" w:hAnsi="Arial" w:cs="Arial"/>
          <w:color w:val="000000"/>
          <w:lang w:val="en-US"/>
        </w:rPr>
        <w:t>they</w:t>
      </w:r>
      <w:r w:rsidRPr="00010350">
        <w:rPr>
          <w:rFonts w:ascii="Arial" w:hAnsi="Arial" w:cs="Arial"/>
          <w:color w:val="000000"/>
          <w:lang w:val="en-US"/>
        </w:rPr>
        <w:t xml:space="preserve"> can cause long-term side effects such as osteoporosis, diabetes, and high blood pressure. Some patients also develop resistance to the </w:t>
      </w:r>
      <w:r w:rsidR="00B97112">
        <w:rPr>
          <w:rFonts w:ascii="Arial" w:hAnsi="Arial" w:cs="Arial"/>
          <w:color w:val="000000"/>
          <w:lang w:val="en-US"/>
        </w:rPr>
        <w:t>substance</w:t>
      </w:r>
      <w:r w:rsidRPr="00010350">
        <w:rPr>
          <w:rFonts w:ascii="Arial" w:hAnsi="Arial" w:cs="Arial"/>
          <w:color w:val="000000"/>
          <w:lang w:val="en-US"/>
        </w:rPr>
        <w:t xml:space="preserve">. </w:t>
      </w:r>
      <w:r w:rsidR="00B97112">
        <w:rPr>
          <w:rFonts w:ascii="Arial" w:hAnsi="Arial" w:cs="Arial"/>
          <w:color w:val="000000"/>
          <w:lang w:val="en-US"/>
        </w:rPr>
        <w:t xml:space="preserve">These shortcomings are </w:t>
      </w:r>
      <w:r w:rsidRPr="00010350">
        <w:rPr>
          <w:rFonts w:ascii="Arial" w:hAnsi="Arial" w:cs="Arial"/>
          <w:color w:val="000000"/>
          <w:lang w:val="en-US"/>
        </w:rPr>
        <w:t>reason</w:t>
      </w:r>
      <w:r w:rsidR="00B97112">
        <w:rPr>
          <w:rFonts w:ascii="Arial" w:hAnsi="Arial" w:cs="Arial"/>
          <w:color w:val="000000"/>
          <w:lang w:val="en-US"/>
        </w:rPr>
        <w:t xml:space="preserve"> enough</w:t>
      </w:r>
      <w:r w:rsidRPr="00010350">
        <w:rPr>
          <w:rFonts w:ascii="Arial" w:hAnsi="Arial" w:cs="Arial"/>
          <w:color w:val="000000"/>
          <w:lang w:val="en-US"/>
        </w:rPr>
        <w:t xml:space="preserve"> to conduct further research. </w:t>
      </w:r>
      <w:r w:rsidR="00B97112" w:rsidRPr="00010350">
        <w:rPr>
          <w:rFonts w:ascii="Arial" w:hAnsi="Arial" w:cs="Arial"/>
          <w:color w:val="000000"/>
          <w:lang w:val="en-US"/>
        </w:rPr>
        <w:t xml:space="preserve">In the </w:t>
      </w:r>
      <w:r w:rsidR="00B97112">
        <w:rPr>
          <w:rFonts w:ascii="Arial" w:hAnsi="Arial" w:cs="Arial"/>
          <w:color w:val="000000"/>
          <w:lang w:val="en-US"/>
        </w:rPr>
        <w:t xml:space="preserve">FWF-funded </w:t>
      </w:r>
      <w:r w:rsidR="00B97112" w:rsidRPr="00010350">
        <w:rPr>
          <w:rFonts w:ascii="Arial" w:hAnsi="Arial" w:cs="Arial"/>
          <w:color w:val="000000"/>
          <w:lang w:val="en-US"/>
        </w:rPr>
        <w:t xml:space="preserve">project </w:t>
      </w:r>
      <w:hyperlink r:id="rId6" w:history="1">
        <w:r w:rsidR="00B97112" w:rsidRPr="00F326CA">
          <w:rPr>
            <w:rStyle w:val="Hyperlink"/>
            <w:rFonts w:ascii="Arial" w:hAnsi="Arial" w:cs="Arial"/>
            <w:lang w:val="en-US"/>
          </w:rPr>
          <w:t xml:space="preserve">“Novel </w:t>
        </w:r>
        <w:r w:rsidR="00625D61" w:rsidRPr="00F326CA">
          <w:rPr>
            <w:rStyle w:val="Hyperlink"/>
            <w:rFonts w:ascii="Arial" w:hAnsi="Arial" w:cs="Arial"/>
            <w:lang w:val="en-US"/>
          </w:rPr>
          <w:t>anti-inflammatory intervention</w:t>
        </w:r>
        <w:r w:rsidR="00B97112" w:rsidRPr="00F326CA">
          <w:rPr>
            <w:rStyle w:val="Hyperlink"/>
            <w:rFonts w:ascii="Arial" w:hAnsi="Arial" w:cs="Arial"/>
            <w:lang w:val="en-US"/>
          </w:rPr>
          <w:t xml:space="preserve"> </w:t>
        </w:r>
        <w:r w:rsidR="00625D61" w:rsidRPr="00F326CA">
          <w:rPr>
            <w:rStyle w:val="Hyperlink"/>
            <w:rFonts w:ascii="Arial" w:hAnsi="Arial" w:cs="Arial"/>
            <w:lang w:val="en-US"/>
          </w:rPr>
          <w:t>in</w:t>
        </w:r>
        <w:r w:rsidR="00B97112" w:rsidRPr="00F326CA">
          <w:rPr>
            <w:rStyle w:val="Hyperlink"/>
            <w:rFonts w:ascii="Arial" w:hAnsi="Arial" w:cs="Arial"/>
            <w:lang w:val="en-US"/>
          </w:rPr>
          <w:t xml:space="preserve"> PMR and </w:t>
        </w:r>
        <w:r w:rsidR="005765F0" w:rsidRPr="00F326CA">
          <w:rPr>
            <w:rStyle w:val="Hyperlink"/>
            <w:rFonts w:ascii="Arial" w:hAnsi="Arial" w:cs="Arial"/>
            <w:lang w:val="en-US"/>
          </w:rPr>
          <w:t>GCA</w:t>
        </w:r>
        <w:r w:rsidR="00B97112" w:rsidRPr="00F326CA">
          <w:rPr>
            <w:rStyle w:val="Hyperlink"/>
            <w:rFonts w:ascii="Arial" w:hAnsi="Arial" w:cs="Arial"/>
            <w:lang w:val="en-US"/>
          </w:rPr>
          <w:t>,”</w:t>
        </w:r>
      </w:hyperlink>
      <w:r w:rsidR="00B97112">
        <w:rPr>
          <w:rFonts w:ascii="Arial" w:hAnsi="Arial" w:cs="Arial"/>
          <w:color w:val="000000"/>
          <w:lang w:val="en-US"/>
        </w:rPr>
        <w:t xml:space="preserve"> </w:t>
      </w:r>
      <w:r w:rsidRPr="00010350">
        <w:rPr>
          <w:rFonts w:ascii="Arial" w:hAnsi="Arial" w:cs="Arial"/>
          <w:color w:val="000000"/>
          <w:lang w:val="en-US"/>
        </w:rPr>
        <w:t xml:space="preserve">Sandra Santos-Sierra and her team at the Medical University of Innsbruck are </w:t>
      </w:r>
      <w:r w:rsidR="00B97112">
        <w:rPr>
          <w:rFonts w:ascii="Arial" w:hAnsi="Arial" w:cs="Arial"/>
          <w:color w:val="000000"/>
          <w:lang w:val="en-US"/>
        </w:rPr>
        <w:t>doing precisely that</w:t>
      </w:r>
      <w:r w:rsidRPr="00010350">
        <w:rPr>
          <w:rFonts w:ascii="Arial" w:hAnsi="Arial" w:cs="Arial"/>
          <w:color w:val="000000"/>
          <w:lang w:val="en-US"/>
        </w:rPr>
        <w:t>.</w:t>
      </w:r>
    </w:p>
    <w:p w14:paraId="75E46878" w14:textId="34B78AEF" w:rsidR="00B05B61" w:rsidRPr="00010350" w:rsidRDefault="00B05B61" w:rsidP="00ED3BBC">
      <w:pPr>
        <w:spacing w:line="276" w:lineRule="auto"/>
        <w:rPr>
          <w:rFonts w:ascii="Arial" w:hAnsi="Arial" w:cs="Arial"/>
          <w:b/>
          <w:color w:val="000000"/>
          <w:lang w:val="en-US"/>
        </w:rPr>
      </w:pPr>
      <w:r w:rsidRPr="00010350">
        <w:rPr>
          <w:rFonts w:ascii="Arial" w:hAnsi="Arial" w:cs="Arial"/>
          <w:b/>
          <w:color w:val="000000"/>
          <w:lang w:val="en-US"/>
        </w:rPr>
        <w:t xml:space="preserve">Understanding and </w:t>
      </w:r>
      <w:r w:rsidR="00B97112" w:rsidRPr="00010350">
        <w:rPr>
          <w:rFonts w:ascii="Arial" w:hAnsi="Arial" w:cs="Arial"/>
          <w:b/>
          <w:color w:val="000000"/>
          <w:lang w:val="en-US"/>
        </w:rPr>
        <w:t>inhibiting the disease mechanism</w:t>
      </w:r>
    </w:p>
    <w:p w14:paraId="5688AF57" w14:textId="4E38E63D" w:rsidR="00B05B61" w:rsidRPr="00010350" w:rsidRDefault="00B05B61" w:rsidP="00ED3BBC">
      <w:pPr>
        <w:spacing w:line="276" w:lineRule="auto"/>
        <w:rPr>
          <w:rFonts w:ascii="Arial" w:hAnsi="Arial" w:cs="Arial"/>
          <w:color w:val="000000"/>
          <w:lang w:val="en-US"/>
        </w:rPr>
      </w:pPr>
      <w:r w:rsidRPr="00010350">
        <w:rPr>
          <w:rFonts w:ascii="Arial" w:hAnsi="Arial" w:cs="Arial"/>
          <w:color w:val="000000"/>
          <w:lang w:val="en-US"/>
        </w:rPr>
        <w:t>The</w:t>
      </w:r>
      <w:r w:rsidR="00B97112">
        <w:rPr>
          <w:rFonts w:ascii="Arial" w:hAnsi="Arial" w:cs="Arial"/>
          <w:color w:val="000000"/>
          <w:lang w:val="en-US"/>
        </w:rPr>
        <w:t>ir</w:t>
      </w:r>
      <w:r w:rsidRPr="00010350">
        <w:rPr>
          <w:rFonts w:ascii="Arial" w:hAnsi="Arial" w:cs="Arial"/>
          <w:color w:val="000000"/>
          <w:lang w:val="en-US"/>
        </w:rPr>
        <w:t xml:space="preserve"> research focuses on so-called Toll-like receptors, or </w:t>
      </w:r>
      <w:r w:rsidR="00C627DF" w:rsidRPr="00010350">
        <w:rPr>
          <w:rFonts w:ascii="Arial" w:hAnsi="Arial" w:cs="Arial"/>
          <w:color w:val="000000"/>
          <w:lang w:val="en-US"/>
        </w:rPr>
        <w:t>TLRs</w:t>
      </w:r>
      <w:r w:rsidRPr="00010350">
        <w:rPr>
          <w:rFonts w:ascii="Arial" w:hAnsi="Arial" w:cs="Arial"/>
          <w:color w:val="000000"/>
          <w:lang w:val="en-US"/>
        </w:rPr>
        <w:t xml:space="preserve"> for short</w:t>
      </w:r>
      <w:r w:rsidR="00C627DF" w:rsidRPr="00010350">
        <w:rPr>
          <w:rFonts w:ascii="Arial" w:hAnsi="Arial" w:cs="Arial"/>
          <w:color w:val="000000"/>
          <w:lang w:val="en-US"/>
        </w:rPr>
        <w:t>. These proteins</w:t>
      </w:r>
      <w:r w:rsidR="00B97112">
        <w:rPr>
          <w:rFonts w:ascii="Arial" w:hAnsi="Arial" w:cs="Arial"/>
          <w:color w:val="000000"/>
          <w:lang w:val="en-US"/>
        </w:rPr>
        <w:t>, of which</w:t>
      </w:r>
      <w:r w:rsidR="00C627DF" w:rsidRPr="00010350">
        <w:rPr>
          <w:rFonts w:ascii="Arial" w:hAnsi="Arial" w:cs="Arial"/>
          <w:color w:val="000000"/>
          <w:lang w:val="en-US"/>
        </w:rPr>
        <w:t xml:space="preserve"> </w:t>
      </w:r>
      <w:r w:rsidR="00B97112" w:rsidRPr="00010350">
        <w:rPr>
          <w:rFonts w:ascii="Arial" w:hAnsi="Arial" w:cs="Arial"/>
          <w:color w:val="000000"/>
          <w:lang w:val="en-US"/>
        </w:rPr>
        <w:t>ten different types (TLR1–10) are currently known in humans</w:t>
      </w:r>
      <w:r w:rsidR="00B97112">
        <w:rPr>
          <w:rFonts w:ascii="Arial" w:hAnsi="Arial" w:cs="Arial"/>
          <w:color w:val="000000"/>
          <w:lang w:val="en-US"/>
        </w:rPr>
        <w:t xml:space="preserve">, are part </w:t>
      </w:r>
      <w:r w:rsidRPr="00010350">
        <w:rPr>
          <w:rFonts w:ascii="Arial" w:hAnsi="Arial" w:cs="Arial"/>
          <w:color w:val="000000"/>
          <w:lang w:val="en-US"/>
        </w:rPr>
        <w:t>of the innate immune system</w:t>
      </w:r>
      <w:r w:rsidR="00E6720C">
        <w:rPr>
          <w:rFonts w:ascii="Arial" w:hAnsi="Arial" w:cs="Arial"/>
          <w:color w:val="000000"/>
          <w:lang w:val="en-US"/>
        </w:rPr>
        <w:t>,</w:t>
      </w:r>
      <w:r w:rsidR="00B97112">
        <w:rPr>
          <w:rFonts w:ascii="Arial" w:hAnsi="Arial" w:cs="Arial"/>
          <w:color w:val="000000"/>
          <w:lang w:val="en-US"/>
        </w:rPr>
        <w:t xml:space="preserve"> and they </w:t>
      </w:r>
      <w:r w:rsidRPr="00010350">
        <w:rPr>
          <w:rFonts w:ascii="Arial" w:hAnsi="Arial" w:cs="Arial"/>
          <w:color w:val="000000"/>
          <w:lang w:val="en-US"/>
        </w:rPr>
        <w:t xml:space="preserve">recognize specific molecular patterns that </w:t>
      </w:r>
      <w:r w:rsidR="00B97112">
        <w:rPr>
          <w:rFonts w:ascii="Arial" w:hAnsi="Arial" w:cs="Arial"/>
          <w:color w:val="000000"/>
          <w:lang w:val="en-US"/>
        </w:rPr>
        <w:t>suggest</w:t>
      </w:r>
      <w:r w:rsidRPr="00010350">
        <w:rPr>
          <w:rFonts w:ascii="Arial" w:hAnsi="Arial" w:cs="Arial"/>
          <w:color w:val="000000"/>
          <w:lang w:val="en-US"/>
        </w:rPr>
        <w:t xml:space="preserve"> disease or tissue damage. “</w:t>
      </w:r>
      <w:r w:rsidR="002E7D4A">
        <w:rPr>
          <w:rFonts w:ascii="Arial" w:hAnsi="Arial" w:cs="Arial"/>
          <w:color w:val="000000"/>
          <w:lang w:val="en-US"/>
        </w:rPr>
        <w:t>The assumption is that i</w:t>
      </w:r>
      <w:r w:rsidRPr="00010350">
        <w:rPr>
          <w:rFonts w:ascii="Arial" w:hAnsi="Arial" w:cs="Arial"/>
          <w:color w:val="000000"/>
          <w:lang w:val="en-US"/>
        </w:rPr>
        <w:t xml:space="preserve">n </w:t>
      </w:r>
      <w:r w:rsidR="002E7D4A">
        <w:rPr>
          <w:rFonts w:ascii="Arial" w:hAnsi="Arial" w:cs="Arial"/>
          <w:color w:val="000000"/>
          <w:lang w:val="en-US"/>
        </w:rPr>
        <w:t>GCA</w:t>
      </w:r>
      <w:r w:rsidR="00E6720C">
        <w:rPr>
          <w:rFonts w:ascii="Arial" w:hAnsi="Arial" w:cs="Arial"/>
          <w:color w:val="000000"/>
          <w:lang w:val="en-US"/>
        </w:rPr>
        <w:t>,</w:t>
      </w:r>
      <w:r w:rsidRPr="00010350">
        <w:rPr>
          <w:rFonts w:ascii="Arial" w:hAnsi="Arial" w:cs="Arial"/>
          <w:color w:val="000000"/>
          <w:lang w:val="en-US"/>
        </w:rPr>
        <w:t xml:space="preserve"> cells of the innate immune system colonize </w:t>
      </w:r>
      <w:r w:rsidR="00C627DF" w:rsidRPr="00010350">
        <w:rPr>
          <w:rFonts w:ascii="Arial" w:hAnsi="Arial" w:cs="Arial"/>
          <w:color w:val="000000"/>
          <w:lang w:val="en-US"/>
        </w:rPr>
        <w:t xml:space="preserve">the </w:t>
      </w:r>
      <w:r w:rsidR="00521A66" w:rsidRPr="00010350">
        <w:rPr>
          <w:rFonts w:ascii="Arial" w:hAnsi="Arial" w:cs="Arial"/>
          <w:color w:val="000000"/>
          <w:lang w:val="en-US"/>
        </w:rPr>
        <w:t xml:space="preserve">arteries </w:t>
      </w:r>
      <w:r w:rsidRPr="00010350">
        <w:rPr>
          <w:rFonts w:ascii="Arial" w:hAnsi="Arial" w:cs="Arial"/>
          <w:color w:val="000000"/>
          <w:lang w:val="en-US"/>
        </w:rPr>
        <w:t xml:space="preserve">first </w:t>
      </w:r>
      <w:r w:rsidR="00521A66" w:rsidRPr="00010350">
        <w:rPr>
          <w:rFonts w:ascii="Arial" w:hAnsi="Arial" w:cs="Arial"/>
          <w:color w:val="000000"/>
          <w:lang w:val="en-US"/>
        </w:rPr>
        <w:t>and trigger</w:t>
      </w:r>
      <w:r w:rsidR="00541D14" w:rsidRPr="00010350">
        <w:rPr>
          <w:rFonts w:ascii="Arial" w:hAnsi="Arial" w:cs="Arial"/>
          <w:color w:val="000000"/>
          <w:lang w:val="en-US"/>
        </w:rPr>
        <w:t xml:space="preserve"> inflammation</w:t>
      </w:r>
      <w:r w:rsidR="00521A66" w:rsidRPr="00010350">
        <w:rPr>
          <w:rFonts w:ascii="Arial" w:hAnsi="Arial" w:cs="Arial"/>
          <w:color w:val="000000"/>
          <w:lang w:val="en-US"/>
        </w:rPr>
        <w:t xml:space="preserve"> there</w:t>
      </w:r>
      <w:r w:rsidRPr="00010350">
        <w:rPr>
          <w:rFonts w:ascii="Arial" w:hAnsi="Arial" w:cs="Arial"/>
          <w:color w:val="000000"/>
          <w:lang w:val="en-US"/>
        </w:rPr>
        <w:t xml:space="preserve">. That’s why we wanted to examine which TLRs </w:t>
      </w:r>
      <w:r w:rsidR="0021266A" w:rsidRPr="00010350">
        <w:rPr>
          <w:rFonts w:ascii="Arial" w:hAnsi="Arial" w:cs="Arial"/>
          <w:color w:val="000000"/>
          <w:lang w:val="en-US"/>
        </w:rPr>
        <w:t>are involved</w:t>
      </w:r>
      <w:r w:rsidRPr="00010350">
        <w:rPr>
          <w:rFonts w:ascii="Arial" w:hAnsi="Arial" w:cs="Arial"/>
          <w:color w:val="000000"/>
          <w:lang w:val="en-US"/>
        </w:rPr>
        <w:t xml:space="preserve"> on a large scale. </w:t>
      </w:r>
      <w:r w:rsidR="002E7D4A">
        <w:rPr>
          <w:rFonts w:ascii="Arial" w:hAnsi="Arial" w:cs="Arial"/>
          <w:color w:val="000000"/>
          <w:lang w:val="en-US"/>
        </w:rPr>
        <w:t xml:space="preserve">It is our </w:t>
      </w:r>
      <w:r w:rsidRPr="00010350">
        <w:rPr>
          <w:rFonts w:ascii="Arial" w:hAnsi="Arial" w:cs="Arial"/>
          <w:color w:val="000000"/>
          <w:lang w:val="en-US"/>
        </w:rPr>
        <w:t xml:space="preserve">hypothesis </w:t>
      </w:r>
      <w:r w:rsidR="002E7D4A">
        <w:rPr>
          <w:rFonts w:ascii="Arial" w:hAnsi="Arial" w:cs="Arial"/>
          <w:color w:val="000000"/>
          <w:lang w:val="en-US"/>
        </w:rPr>
        <w:t xml:space="preserve">that </w:t>
      </w:r>
      <w:r w:rsidRPr="00010350">
        <w:rPr>
          <w:rFonts w:ascii="Arial" w:hAnsi="Arial" w:cs="Arial"/>
          <w:color w:val="000000"/>
          <w:lang w:val="en-US"/>
        </w:rPr>
        <w:t xml:space="preserve">this could help us identify the trigger of the inflammation. </w:t>
      </w:r>
      <w:r w:rsidR="002E7D4A">
        <w:rPr>
          <w:rFonts w:ascii="Arial" w:hAnsi="Arial" w:cs="Arial"/>
          <w:color w:val="000000"/>
          <w:lang w:val="en-US"/>
        </w:rPr>
        <w:t>In addition</w:t>
      </w:r>
      <w:r w:rsidRPr="00010350">
        <w:rPr>
          <w:rFonts w:ascii="Arial" w:hAnsi="Arial" w:cs="Arial"/>
          <w:color w:val="000000"/>
          <w:lang w:val="en-US"/>
        </w:rPr>
        <w:t>, the goal was to test TLR inhibitors</w:t>
      </w:r>
      <w:r w:rsidR="002E7D4A">
        <w:rPr>
          <w:rFonts w:ascii="Arial" w:hAnsi="Arial" w:cs="Arial"/>
          <w:color w:val="000000"/>
          <w:lang w:val="en-US"/>
        </w:rPr>
        <w:t xml:space="preserve"> – in other words</w:t>
      </w:r>
      <w:r w:rsidR="00677054" w:rsidRPr="00010350">
        <w:rPr>
          <w:rFonts w:ascii="Arial" w:hAnsi="Arial" w:cs="Arial"/>
          <w:color w:val="000000"/>
          <w:lang w:val="en-US"/>
        </w:rPr>
        <w:t xml:space="preserve"> substances </w:t>
      </w:r>
      <w:r w:rsidRPr="00010350">
        <w:rPr>
          <w:rFonts w:ascii="Arial" w:hAnsi="Arial" w:cs="Arial"/>
          <w:color w:val="000000"/>
          <w:lang w:val="en-US"/>
        </w:rPr>
        <w:t xml:space="preserve">that block the signaling cascade and </w:t>
      </w:r>
      <w:r w:rsidR="0021266A" w:rsidRPr="00010350">
        <w:rPr>
          <w:rFonts w:ascii="Arial" w:hAnsi="Arial" w:cs="Arial"/>
          <w:color w:val="000000"/>
          <w:lang w:val="en-US"/>
        </w:rPr>
        <w:t>prevent</w:t>
      </w:r>
      <w:r w:rsidRPr="00010350">
        <w:rPr>
          <w:rFonts w:ascii="Arial" w:hAnsi="Arial" w:cs="Arial"/>
          <w:color w:val="000000"/>
          <w:lang w:val="en-US"/>
        </w:rPr>
        <w:t xml:space="preserve"> inflammation </w:t>
      </w:r>
      <w:r w:rsidR="0021266A" w:rsidRPr="00010350">
        <w:rPr>
          <w:rFonts w:ascii="Arial" w:hAnsi="Arial" w:cs="Arial"/>
          <w:color w:val="000000"/>
          <w:lang w:val="en-US"/>
        </w:rPr>
        <w:t xml:space="preserve">right from </w:t>
      </w:r>
      <w:r w:rsidR="00521A66" w:rsidRPr="00010350">
        <w:rPr>
          <w:rFonts w:ascii="Arial" w:hAnsi="Arial" w:cs="Arial"/>
          <w:color w:val="000000"/>
          <w:lang w:val="en-US"/>
        </w:rPr>
        <w:t>the start</w:t>
      </w:r>
      <w:r w:rsidRPr="00010350">
        <w:rPr>
          <w:rFonts w:ascii="Arial" w:hAnsi="Arial" w:cs="Arial"/>
          <w:color w:val="000000"/>
          <w:lang w:val="en-US"/>
        </w:rPr>
        <w:t>,” says Santos-Sierra, outlining the research approach. In a previous project</w:t>
      </w:r>
      <w:r w:rsidRPr="00010350">
        <w:rPr>
          <w:rFonts w:ascii="Arial" w:hAnsi="Arial" w:cs="Arial"/>
          <w:lang w:val="en-US"/>
        </w:rPr>
        <w:t>,</w:t>
      </w:r>
      <w:r w:rsidRPr="00010350">
        <w:rPr>
          <w:rFonts w:ascii="Arial" w:hAnsi="Arial" w:cs="Arial"/>
          <w:color w:val="000000"/>
          <w:lang w:val="en-US"/>
        </w:rPr>
        <w:t xml:space="preserve"> the </w:t>
      </w:r>
      <w:r w:rsidRPr="00010350">
        <w:rPr>
          <w:rFonts w:ascii="Arial" w:hAnsi="Arial" w:cs="Arial"/>
          <w:lang w:val="en-US"/>
        </w:rPr>
        <w:t>research group</w:t>
      </w:r>
      <w:r w:rsidRPr="00010350">
        <w:rPr>
          <w:rFonts w:ascii="Arial" w:hAnsi="Arial" w:cs="Arial"/>
          <w:color w:val="000000"/>
          <w:lang w:val="en-US"/>
        </w:rPr>
        <w:t xml:space="preserve"> had already developed </w:t>
      </w:r>
      <w:r w:rsidR="00275885" w:rsidRPr="00010350">
        <w:rPr>
          <w:rFonts w:ascii="Arial" w:hAnsi="Arial" w:cs="Arial"/>
          <w:lang w:val="en-US"/>
        </w:rPr>
        <w:t xml:space="preserve">several inhibitors </w:t>
      </w:r>
      <w:r w:rsidRPr="00010350">
        <w:rPr>
          <w:rFonts w:ascii="Arial" w:hAnsi="Arial" w:cs="Arial"/>
          <w:lang w:val="en-US"/>
        </w:rPr>
        <w:t xml:space="preserve">for TLR2 </w:t>
      </w:r>
      <w:r w:rsidR="00275885" w:rsidRPr="00010350">
        <w:rPr>
          <w:rFonts w:ascii="Arial" w:hAnsi="Arial" w:cs="Arial"/>
          <w:lang w:val="en-US"/>
        </w:rPr>
        <w:t xml:space="preserve">that </w:t>
      </w:r>
      <w:r w:rsidRPr="00010350">
        <w:rPr>
          <w:rFonts w:ascii="Arial" w:hAnsi="Arial" w:cs="Arial"/>
          <w:color w:val="000000"/>
          <w:lang w:val="en-US"/>
        </w:rPr>
        <w:t xml:space="preserve">could be tested </w:t>
      </w:r>
      <w:r w:rsidR="00C627DF" w:rsidRPr="00010350">
        <w:rPr>
          <w:rFonts w:ascii="Arial" w:hAnsi="Arial" w:cs="Arial"/>
          <w:color w:val="000000"/>
          <w:lang w:val="en-US"/>
        </w:rPr>
        <w:t>for this purpose</w:t>
      </w:r>
      <w:r w:rsidRPr="00010350">
        <w:rPr>
          <w:rFonts w:ascii="Arial" w:hAnsi="Arial" w:cs="Arial"/>
          <w:color w:val="000000"/>
          <w:lang w:val="en-US"/>
        </w:rPr>
        <w:t xml:space="preserve">. </w:t>
      </w:r>
    </w:p>
    <w:p w14:paraId="54BB7E3C" w14:textId="0A686C7B" w:rsidR="00B05B61" w:rsidRPr="00010350" w:rsidRDefault="00B05B61" w:rsidP="00ED3BBC">
      <w:pPr>
        <w:spacing w:line="276" w:lineRule="auto"/>
        <w:rPr>
          <w:rFonts w:ascii="Arial" w:hAnsi="Arial" w:cs="Arial"/>
          <w:color w:val="000000"/>
          <w:lang w:val="en-US"/>
        </w:rPr>
      </w:pPr>
      <w:r w:rsidRPr="00010350">
        <w:rPr>
          <w:rFonts w:ascii="Arial" w:hAnsi="Arial" w:cs="Arial"/>
          <w:color w:val="000000"/>
          <w:lang w:val="en-US"/>
        </w:rPr>
        <w:t xml:space="preserve">For these studies, the researchers worked with tissue samples obtained through biopsies from patients with </w:t>
      </w:r>
      <w:r w:rsidR="002E7D4A">
        <w:rPr>
          <w:rFonts w:ascii="Arial" w:hAnsi="Arial" w:cs="Arial"/>
          <w:color w:val="000000"/>
          <w:lang w:val="en-US"/>
        </w:rPr>
        <w:t>GCA and PMR and</w:t>
      </w:r>
      <w:r w:rsidRPr="00010350">
        <w:rPr>
          <w:rFonts w:ascii="Arial" w:hAnsi="Arial" w:cs="Arial"/>
          <w:color w:val="000000"/>
          <w:lang w:val="en-US"/>
        </w:rPr>
        <w:t xml:space="preserve"> </w:t>
      </w:r>
      <w:r w:rsidR="002E7D4A">
        <w:rPr>
          <w:rFonts w:ascii="Arial" w:hAnsi="Arial" w:cs="Arial"/>
          <w:color w:val="000000"/>
          <w:lang w:val="en-US"/>
        </w:rPr>
        <w:t>they also tested</w:t>
      </w:r>
      <w:r w:rsidRPr="00010350">
        <w:rPr>
          <w:rFonts w:ascii="Arial" w:hAnsi="Arial" w:cs="Arial"/>
          <w:color w:val="000000"/>
          <w:lang w:val="en-US"/>
        </w:rPr>
        <w:t xml:space="preserve"> the</w:t>
      </w:r>
      <w:r w:rsidR="002E7D4A">
        <w:rPr>
          <w:rFonts w:ascii="Arial" w:hAnsi="Arial" w:cs="Arial"/>
          <w:color w:val="000000"/>
          <w:lang w:val="en-US"/>
        </w:rPr>
        <w:t xml:space="preserve"> patients’</w:t>
      </w:r>
      <w:r w:rsidRPr="00010350">
        <w:rPr>
          <w:rFonts w:ascii="Arial" w:hAnsi="Arial" w:cs="Arial"/>
          <w:color w:val="000000"/>
          <w:lang w:val="en-US"/>
        </w:rPr>
        <w:t xml:space="preserve"> blood plasma for inflammatory markers. </w:t>
      </w:r>
      <w:r w:rsidRPr="00010350">
        <w:rPr>
          <w:rFonts w:ascii="Arial" w:hAnsi="Arial" w:cs="Arial"/>
          <w:lang w:val="en-US"/>
        </w:rPr>
        <w:t xml:space="preserve">They were able to </w:t>
      </w:r>
      <w:r w:rsidR="002E7D4A">
        <w:rPr>
          <w:rFonts w:ascii="Arial" w:hAnsi="Arial" w:cs="Arial"/>
          <w:lang w:val="en-US"/>
        </w:rPr>
        <w:t>use</w:t>
      </w:r>
      <w:r w:rsidRPr="00010350">
        <w:rPr>
          <w:rFonts w:ascii="Arial" w:hAnsi="Arial" w:cs="Arial"/>
          <w:lang w:val="en-US"/>
        </w:rPr>
        <w:t xml:space="preserve"> samples from the Hospital de la </w:t>
      </w:r>
      <w:proofErr w:type="spellStart"/>
      <w:r w:rsidRPr="00010350">
        <w:rPr>
          <w:rFonts w:ascii="Arial" w:hAnsi="Arial" w:cs="Arial"/>
          <w:lang w:val="en-US"/>
        </w:rPr>
        <w:t>Princesa</w:t>
      </w:r>
      <w:proofErr w:type="spellEnd"/>
      <w:r w:rsidRPr="00010350">
        <w:rPr>
          <w:rFonts w:ascii="Arial" w:hAnsi="Arial" w:cs="Arial"/>
          <w:lang w:val="en-US"/>
        </w:rPr>
        <w:t xml:space="preserve"> in </w:t>
      </w:r>
      <w:r w:rsidRPr="00010350">
        <w:rPr>
          <w:rFonts w:ascii="Arial" w:hAnsi="Arial" w:cs="Arial"/>
          <w:lang w:val="en-US"/>
        </w:rPr>
        <w:lastRenderedPageBreak/>
        <w:t xml:space="preserve">Madrid </w:t>
      </w:r>
      <w:r w:rsidR="00114449" w:rsidRPr="00010350">
        <w:rPr>
          <w:rFonts w:ascii="Arial" w:hAnsi="Arial" w:cs="Arial"/>
          <w:lang w:val="en-US"/>
        </w:rPr>
        <w:t xml:space="preserve">and the </w:t>
      </w:r>
      <w:r w:rsidR="00521A66" w:rsidRPr="00010350">
        <w:rPr>
          <w:rFonts w:ascii="Arial" w:hAnsi="Arial" w:cs="Arial"/>
          <w:lang w:val="en-US"/>
        </w:rPr>
        <w:t>University Hospital of Innsbruck</w:t>
      </w:r>
      <w:r w:rsidRPr="00010350">
        <w:rPr>
          <w:rFonts w:ascii="Arial" w:hAnsi="Arial" w:cs="Arial"/>
          <w:lang w:val="en-US"/>
        </w:rPr>
        <w:t xml:space="preserve">, with </w:t>
      </w:r>
      <w:r w:rsidR="00114449" w:rsidRPr="00010350">
        <w:rPr>
          <w:rFonts w:ascii="Arial" w:hAnsi="Arial" w:cs="Arial"/>
          <w:lang w:val="en-US"/>
        </w:rPr>
        <w:t xml:space="preserve">which </w:t>
      </w:r>
      <w:r w:rsidRPr="00010350">
        <w:rPr>
          <w:rFonts w:ascii="Arial" w:hAnsi="Arial" w:cs="Arial"/>
          <w:lang w:val="en-US"/>
        </w:rPr>
        <w:t xml:space="preserve">Santos-Sierra and </w:t>
      </w:r>
      <w:r w:rsidR="002E7D4A">
        <w:rPr>
          <w:rFonts w:ascii="Arial" w:hAnsi="Arial" w:cs="Arial"/>
          <w:lang w:val="en-US"/>
        </w:rPr>
        <w:t>her</w:t>
      </w:r>
      <w:r w:rsidR="00F649A5" w:rsidRPr="00010350">
        <w:rPr>
          <w:rFonts w:ascii="Arial" w:hAnsi="Arial" w:cs="Arial"/>
          <w:lang w:val="en-US"/>
        </w:rPr>
        <w:t xml:space="preserve"> </w:t>
      </w:r>
      <w:r w:rsidRPr="00010350">
        <w:rPr>
          <w:rFonts w:ascii="Arial" w:hAnsi="Arial" w:cs="Arial"/>
          <w:lang w:val="en-US"/>
        </w:rPr>
        <w:t xml:space="preserve">team collaborate on their research. </w:t>
      </w:r>
      <w:r w:rsidR="002E7D4A">
        <w:rPr>
          <w:rFonts w:ascii="Arial" w:hAnsi="Arial" w:cs="Arial"/>
          <w:lang w:val="en-US"/>
        </w:rPr>
        <w:t>The method enabling the team to detect</w:t>
      </w:r>
      <w:r w:rsidRPr="00010350">
        <w:rPr>
          <w:rFonts w:ascii="Arial" w:hAnsi="Arial" w:cs="Arial"/>
          <w:color w:val="000000"/>
          <w:lang w:val="en-US"/>
        </w:rPr>
        <w:t xml:space="preserve"> the presence of </w:t>
      </w:r>
      <w:r w:rsidR="00C627DF" w:rsidRPr="00010350">
        <w:rPr>
          <w:rFonts w:ascii="Arial" w:hAnsi="Arial" w:cs="Arial"/>
          <w:color w:val="000000"/>
          <w:lang w:val="en-US"/>
        </w:rPr>
        <w:t xml:space="preserve">TLRs </w:t>
      </w:r>
      <w:r w:rsidRPr="00010350">
        <w:rPr>
          <w:rFonts w:ascii="Arial" w:hAnsi="Arial" w:cs="Arial"/>
          <w:color w:val="000000"/>
          <w:lang w:val="en-US"/>
        </w:rPr>
        <w:t xml:space="preserve">in tissue samples </w:t>
      </w:r>
      <w:r w:rsidR="002E7D4A">
        <w:rPr>
          <w:rFonts w:ascii="Arial" w:hAnsi="Arial" w:cs="Arial"/>
          <w:color w:val="000000"/>
          <w:lang w:val="en-US"/>
        </w:rPr>
        <w:t>is</w:t>
      </w:r>
      <w:r w:rsidRPr="00010350">
        <w:rPr>
          <w:rFonts w:ascii="Arial" w:hAnsi="Arial" w:cs="Arial"/>
          <w:color w:val="000000"/>
          <w:lang w:val="en-US"/>
        </w:rPr>
        <w:t xml:space="preserve"> known as </w:t>
      </w:r>
      <w:r w:rsidRPr="00010350">
        <w:rPr>
          <w:rFonts w:ascii="Arial" w:hAnsi="Arial" w:cs="Arial"/>
          <w:lang w:val="en-US"/>
        </w:rPr>
        <w:t xml:space="preserve">immunofluorescence microscopy. This involves </w:t>
      </w:r>
      <w:r w:rsidRPr="00010350">
        <w:rPr>
          <w:rFonts w:ascii="Arial" w:hAnsi="Arial" w:cs="Arial"/>
          <w:color w:val="000000"/>
          <w:lang w:val="en-US"/>
        </w:rPr>
        <w:t>applying</w:t>
      </w:r>
      <w:r w:rsidRPr="00010350">
        <w:rPr>
          <w:rFonts w:ascii="Arial" w:hAnsi="Arial" w:cs="Arial"/>
          <w:lang w:val="en-US"/>
        </w:rPr>
        <w:t xml:space="preserve"> antibodies to wafer-thin tissue sections</w:t>
      </w:r>
      <w:r w:rsidRPr="00010350">
        <w:rPr>
          <w:rFonts w:ascii="Arial" w:hAnsi="Arial" w:cs="Arial"/>
          <w:color w:val="000000"/>
          <w:lang w:val="en-US"/>
        </w:rPr>
        <w:t xml:space="preserve">, where they specifically bind to the target TLR types. Additional antibodies, which </w:t>
      </w:r>
      <w:r w:rsidRPr="00010350">
        <w:rPr>
          <w:rFonts w:ascii="Arial" w:hAnsi="Arial" w:cs="Arial"/>
          <w:lang w:val="en-US"/>
        </w:rPr>
        <w:t>carry</w:t>
      </w:r>
      <w:r w:rsidRPr="00010350">
        <w:rPr>
          <w:rFonts w:ascii="Arial" w:hAnsi="Arial" w:cs="Arial"/>
          <w:color w:val="000000"/>
          <w:lang w:val="en-US"/>
        </w:rPr>
        <w:t xml:space="preserve"> a fluorescent dye</w:t>
      </w:r>
      <w:r w:rsidRPr="00010350">
        <w:rPr>
          <w:rFonts w:ascii="Arial" w:hAnsi="Arial" w:cs="Arial"/>
          <w:lang w:val="en-US"/>
        </w:rPr>
        <w:t xml:space="preserve">, </w:t>
      </w:r>
      <w:r w:rsidR="009E74E5" w:rsidRPr="00010350">
        <w:rPr>
          <w:rFonts w:ascii="Arial" w:hAnsi="Arial" w:cs="Arial"/>
          <w:lang w:val="en-US"/>
        </w:rPr>
        <w:t xml:space="preserve">subsequently bind to these. </w:t>
      </w:r>
      <w:r w:rsidRPr="00010350">
        <w:rPr>
          <w:rFonts w:ascii="Arial" w:hAnsi="Arial" w:cs="Arial"/>
          <w:lang w:val="en-US"/>
        </w:rPr>
        <w:t xml:space="preserve">Under the microscope, </w:t>
      </w:r>
      <w:r w:rsidRPr="00010350">
        <w:rPr>
          <w:rFonts w:ascii="Arial" w:hAnsi="Arial" w:cs="Arial"/>
          <w:color w:val="000000"/>
          <w:lang w:val="en-US"/>
        </w:rPr>
        <w:t xml:space="preserve">the frequency and distribution of the TLRs </w:t>
      </w:r>
      <w:r w:rsidR="002E7D4A">
        <w:rPr>
          <w:rFonts w:ascii="Arial" w:hAnsi="Arial" w:cs="Arial"/>
          <w:color w:val="000000"/>
          <w:lang w:val="en-US"/>
        </w:rPr>
        <w:t xml:space="preserve">is then revealed by </w:t>
      </w:r>
      <w:r w:rsidRPr="00010350">
        <w:rPr>
          <w:rFonts w:ascii="Arial" w:hAnsi="Arial" w:cs="Arial"/>
          <w:lang w:val="en-US"/>
        </w:rPr>
        <w:t xml:space="preserve">the </w:t>
      </w:r>
      <w:r w:rsidRPr="00010350">
        <w:rPr>
          <w:rFonts w:ascii="Arial" w:hAnsi="Arial" w:cs="Arial"/>
          <w:color w:val="000000"/>
          <w:lang w:val="en-US"/>
        </w:rPr>
        <w:t xml:space="preserve">fluorescent labeling.   </w:t>
      </w:r>
    </w:p>
    <w:p w14:paraId="37E6B7A3" w14:textId="2E5D8380" w:rsidR="00B05B61" w:rsidRPr="00010350" w:rsidRDefault="002E7D4A" w:rsidP="00ED3BBC">
      <w:pPr>
        <w:spacing w:line="276" w:lineRule="auto"/>
        <w:rPr>
          <w:rFonts w:ascii="Arial" w:hAnsi="Arial" w:cs="Arial"/>
          <w:b/>
          <w:color w:val="000000"/>
          <w:lang w:val="en-US"/>
        </w:rPr>
      </w:pPr>
      <w:r>
        <w:rPr>
          <w:rFonts w:ascii="Arial" w:hAnsi="Arial" w:cs="Arial"/>
          <w:b/>
          <w:color w:val="000000"/>
          <w:lang w:val="en-US"/>
        </w:rPr>
        <w:t>Unexpected i</w:t>
      </w:r>
      <w:r w:rsidR="00B05B61" w:rsidRPr="00010350">
        <w:rPr>
          <w:rFonts w:ascii="Arial" w:hAnsi="Arial" w:cs="Arial"/>
          <w:b/>
          <w:color w:val="000000"/>
          <w:lang w:val="en-US"/>
        </w:rPr>
        <w:t xml:space="preserve">mmune </w:t>
      </w:r>
      <w:r w:rsidRPr="00010350">
        <w:rPr>
          <w:rFonts w:ascii="Arial" w:hAnsi="Arial" w:cs="Arial"/>
          <w:b/>
          <w:color w:val="000000"/>
          <w:lang w:val="en-US"/>
        </w:rPr>
        <w:t>response</w:t>
      </w:r>
    </w:p>
    <w:p w14:paraId="291FBB03" w14:textId="0867F4CF" w:rsidR="00B05B61" w:rsidRPr="00010350" w:rsidRDefault="00B05B61" w:rsidP="00ED3BBC">
      <w:pPr>
        <w:spacing w:line="276" w:lineRule="auto"/>
        <w:rPr>
          <w:rFonts w:ascii="Arial" w:hAnsi="Arial" w:cs="Arial"/>
          <w:color w:val="000000"/>
          <w:lang w:val="en-US"/>
        </w:rPr>
      </w:pPr>
      <w:r w:rsidRPr="00010350">
        <w:rPr>
          <w:rFonts w:ascii="Arial" w:hAnsi="Arial" w:cs="Arial"/>
          <w:color w:val="000000"/>
          <w:lang w:val="en-US"/>
        </w:rPr>
        <w:t xml:space="preserve">The </w:t>
      </w:r>
      <w:hyperlink r:id="rId7" w:history="1">
        <w:r w:rsidRPr="00010350">
          <w:rPr>
            <w:rStyle w:val="Hyperlink"/>
            <w:rFonts w:ascii="Arial" w:hAnsi="Arial" w:cs="Arial"/>
            <w:lang w:val="en-US"/>
          </w:rPr>
          <w:t>study</w:t>
        </w:r>
      </w:hyperlink>
      <w:r w:rsidRPr="00010350">
        <w:rPr>
          <w:rFonts w:ascii="Arial" w:hAnsi="Arial" w:cs="Arial"/>
          <w:color w:val="000000"/>
          <w:lang w:val="en-US"/>
        </w:rPr>
        <w:t xml:space="preserve"> yielded a surprising result that </w:t>
      </w:r>
      <w:r w:rsidRPr="00010350">
        <w:rPr>
          <w:rFonts w:ascii="Arial" w:hAnsi="Arial" w:cs="Arial"/>
          <w:lang w:val="en-US"/>
        </w:rPr>
        <w:t>does</w:t>
      </w:r>
      <w:r w:rsidRPr="00010350">
        <w:rPr>
          <w:rFonts w:ascii="Arial" w:hAnsi="Arial" w:cs="Arial"/>
          <w:color w:val="000000"/>
          <w:lang w:val="en-US"/>
        </w:rPr>
        <w:t xml:space="preserve"> not exactly </w:t>
      </w:r>
      <w:r w:rsidR="002E7D4A">
        <w:rPr>
          <w:rFonts w:ascii="Arial" w:hAnsi="Arial" w:cs="Arial"/>
          <w:color w:val="000000"/>
          <w:lang w:val="en-US"/>
        </w:rPr>
        <w:t xml:space="preserve">make </w:t>
      </w:r>
      <w:r w:rsidRPr="00010350">
        <w:rPr>
          <w:rFonts w:ascii="Arial" w:hAnsi="Arial" w:cs="Arial"/>
          <w:color w:val="000000"/>
          <w:lang w:val="en-US"/>
        </w:rPr>
        <w:t>further research</w:t>
      </w:r>
      <w:r w:rsidR="002E7D4A">
        <w:rPr>
          <w:rFonts w:ascii="Arial" w:hAnsi="Arial" w:cs="Arial"/>
          <w:color w:val="000000"/>
          <w:lang w:val="en-US"/>
        </w:rPr>
        <w:t xml:space="preserve"> any easier</w:t>
      </w:r>
      <w:r w:rsidR="009E74E5" w:rsidRPr="00010350">
        <w:rPr>
          <w:rFonts w:ascii="Arial" w:hAnsi="Arial" w:cs="Arial"/>
          <w:lang w:val="en-US"/>
        </w:rPr>
        <w:t xml:space="preserve">: </w:t>
      </w:r>
      <w:r w:rsidR="004E3E0E" w:rsidRPr="00010350">
        <w:rPr>
          <w:rFonts w:ascii="Arial" w:hAnsi="Arial" w:cs="Arial"/>
          <w:lang w:val="en-US"/>
        </w:rPr>
        <w:t xml:space="preserve">“Contrary to </w:t>
      </w:r>
      <w:r w:rsidR="000C7E2E" w:rsidRPr="00010350">
        <w:rPr>
          <w:rFonts w:ascii="Arial" w:hAnsi="Arial" w:cs="Arial"/>
          <w:lang w:val="en-US"/>
        </w:rPr>
        <w:t xml:space="preserve">our </w:t>
      </w:r>
      <w:r w:rsidR="004E3E0E" w:rsidRPr="00010350">
        <w:rPr>
          <w:rFonts w:ascii="Arial" w:hAnsi="Arial" w:cs="Arial"/>
          <w:lang w:val="en-US"/>
        </w:rPr>
        <w:t>expectations, several TLRs were upregulated in the arteries, which is why we were unable to identify a direct, specific trigger</w:t>
      </w:r>
      <w:r w:rsidR="002E7D4A">
        <w:rPr>
          <w:rFonts w:ascii="Arial" w:hAnsi="Arial" w:cs="Arial"/>
          <w:lang w:val="en-US"/>
        </w:rPr>
        <w:t xml:space="preserve"> – </w:t>
      </w:r>
      <w:r w:rsidR="004E3E0E" w:rsidRPr="00010350">
        <w:rPr>
          <w:rFonts w:ascii="Arial" w:hAnsi="Arial" w:cs="Arial"/>
          <w:lang w:val="en-US"/>
        </w:rPr>
        <w:t>such as viruses or bacteria</w:t>
      </w:r>
      <w:r w:rsidR="002E7D4A">
        <w:rPr>
          <w:rFonts w:ascii="Arial" w:hAnsi="Arial" w:cs="Arial"/>
          <w:lang w:val="en-US"/>
        </w:rPr>
        <w:t xml:space="preserve"> – </w:t>
      </w:r>
      <w:r w:rsidR="004E3E0E" w:rsidRPr="00010350">
        <w:rPr>
          <w:rFonts w:ascii="Arial" w:hAnsi="Arial" w:cs="Arial"/>
          <w:lang w:val="en-US"/>
        </w:rPr>
        <w:t>for the onset of the disease</w:t>
      </w:r>
      <w:r w:rsidR="00521A66" w:rsidRPr="00010350">
        <w:rPr>
          <w:rFonts w:ascii="Arial" w:hAnsi="Arial" w:cs="Arial"/>
          <w:lang w:val="en-US"/>
        </w:rPr>
        <w:t xml:space="preserve">. </w:t>
      </w:r>
      <w:r w:rsidRPr="00010350">
        <w:rPr>
          <w:rFonts w:ascii="Arial" w:hAnsi="Arial" w:cs="Arial"/>
          <w:color w:val="000000"/>
          <w:lang w:val="en-US"/>
        </w:rPr>
        <w:t>Other inflammatory signals</w:t>
      </w:r>
      <w:r w:rsidR="00521A66" w:rsidRPr="00010350">
        <w:rPr>
          <w:rFonts w:ascii="Arial" w:hAnsi="Arial" w:cs="Arial"/>
          <w:color w:val="000000"/>
          <w:lang w:val="en-US"/>
        </w:rPr>
        <w:t xml:space="preserve">, </w:t>
      </w:r>
      <w:r w:rsidRPr="00010350">
        <w:rPr>
          <w:rFonts w:ascii="Arial" w:hAnsi="Arial" w:cs="Arial"/>
          <w:color w:val="000000"/>
          <w:lang w:val="en-US"/>
        </w:rPr>
        <w:t xml:space="preserve">known as alarmins, </w:t>
      </w:r>
      <w:r w:rsidR="009E74E5" w:rsidRPr="00010350">
        <w:rPr>
          <w:rFonts w:ascii="Arial" w:hAnsi="Arial" w:cs="Arial"/>
          <w:color w:val="000000"/>
          <w:lang w:val="en-US"/>
        </w:rPr>
        <w:t xml:space="preserve">were also </w:t>
      </w:r>
      <w:r w:rsidRPr="00010350">
        <w:rPr>
          <w:rFonts w:ascii="Arial" w:hAnsi="Arial" w:cs="Arial"/>
          <w:color w:val="000000"/>
          <w:lang w:val="en-US"/>
        </w:rPr>
        <w:t xml:space="preserve">elevated. This </w:t>
      </w:r>
      <w:r w:rsidR="005765F0">
        <w:rPr>
          <w:rFonts w:ascii="Arial" w:hAnsi="Arial" w:cs="Arial"/>
          <w:color w:val="000000"/>
          <w:lang w:val="en-US"/>
        </w:rPr>
        <w:t>indicates</w:t>
      </w:r>
      <w:r w:rsidRPr="00010350">
        <w:rPr>
          <w:rFonts w:ascii="Arial" w:hAnsi="Arial" w:cs="Arial"/>
          <w:color w:val="000000"/>
          <w:lang w:val="en-US"/>
        </w:rPr>
        <w:t xml:space="preserve"> a generally heightened response </w:t>
      </w:r>
      <w:r w:rsidR="00521A66" w:rsidRPr="00010350">
        <w:rPr>
          <w:rFonts w:ascii="Arial" w:hAnsi="Arial" w:cs="Arial"/>
          <w:color w:val="000000"/>
          <w:lang w:val="en-US"/>
        </w:rPr>
        <w:t>of the innate immune system,</w:t>
      </w:r>
      <w:r w:rsidRPr="00010350">
        <w:rPr>
          <w:rFonts w:ascii="Arial" w:hAnsi="Arial" w:cs="Arial"/>
          <w:color w:val="000000"/>
          <w:lang w:val="en-US"/>
        </w:rPr>
        <w:t xml:space="preserve">” </w:t>
      </w:r>
      <w:r w:rsidR="00521A66" w:rsidRPr="00010350">
        <w:rPr>
          <w:rFonts w:ascii="Arial" w:hAnsi="Arial" w:cs="Arial"/>
          <w:color w:val="000000"/>
          <w:lang w:val="en-US"/>
        </w:rPr>
        <w:t xml:space="preserve">explains Santos-Sierra. </w:t>
      </w:r>
      <w:r w:rsidR="005765F0">
        <w:rPr>
          <w:rFonts w:ascii="Arial" w:hAnsi="Arial" w:cs="Arial"/>
          <w:color w:val="000000"/>
          <w:lang w:val="en-US"/>
        </w:rPr>
        <w:t xml:space="preserve">Hence, </w:t>
      </w:r>
      <w:r w:rsidRPr="00010350">
        <w:rPr>
          <w:rFonts w:ascii="Arial" w:hAnsi="Arial" w:cs="Arial"/>
          <w:color w:val="000000"/>
          <w:lang w:val="en-US"/>
        </w:rPr>
        <w:t xml:space="preserve">these </w:t>
      </w:r>
      <w:r w:rsidR="00E6720C">
        <w:rPr>
          <w:rFonts w:ascii="Arial" w:hAnsi="Arial" w:cs="Arial"/>
          <w:color w:val="000000"/>
          <w:lang w:val="en-US"/>
        </w:rPr>
        <w:t>findings</w:t>
      </w:r>
      <w:r w:rsidR="005765F0">
        <w:rPr>
          <w:rFonts w:ascii="Arial" w:hAnsi="Arial" w:cs="Arial"/>
          <w:color w:val="000000"/>
          <w:lang w:val="en-US"/>
        </w:rPr>
        <w:t xml:space="preserve"> do not yet enable the researchers</w:t>
      </w:r>
      <w:r w:rsidRPr="00010350">
        <w:rPr>
          <w:rFonts w:ascii="Arial" w:hAnsi="Arial" w:cs="Arial"/>
          <w:color w:val="000000"/>
          <w:lang w:val="en-US"/>
        </w:rPr>
        <w:t xml:space="preserve"> to </w:t>
      </w:r>
      <w:r w:rsidR="005765F0">
        <w:rPr>
          <w:rFonts w:ascii="Arial" w:hAnsi="Arial" w:cs="Arial"/>
          <w:color w:val="000000"/>
          <w:lang w:val="en-US"/>
        </w:rPr>
        <w:t>pinpoint the</w:t>
      </w:r>
      <w:r w:rsidRPr="00010350">
        <w:rPr>
          <w:rFonts w:ascii="Arial" w:hAnsi="Arial" w:cs="Arial"/>
          <w:color w:val="000000"/>
          <w:lang w:val="en-US"/>
        </w:rPr>
        <w:t xml:space="preserve"> triggers of the disease. The question </w:t>
      </w:r>
      <w:r w:rsidR="005765F0">
        <w:rPr>
          <w:rFonts w:ascii="Arial" w:hAnsi="Arial" w:cs="Arial"/>
          <w:color w:val="000000"/>
          <w:lang w:val="en-US"/>
        </w:rPr>
        <w:t>as to</w:t>
      </w:r>
      <w:r w:rsidRPr="00010350">
        <w:rPr>
          <w:rFonts w:ascii="Arial" w:hAnsi="Arial" w:cs="Arial"/>
          <w:color w:val="000000"/>
          <w:lang w:val="en-US"/>
        </w:rPr>
        <w:t xml:space="preserve"> whether PMR and </w:t>
      </w:r>
      <w:r w:rsidR="005765F0">
        <w:rPr>
          <w:rFonts w:ascii="Arial" w:hAnsi="Arial" w:cs="Arial"/>
          <w:color w:val="000000"/>
          <w:lang w:val="en-US"/>
        </w:rPr>
        <w:t>GCA</w:t>
      </w:r>
      <w:r w:rsidRPr="00010350">
        <w:rPr>
          <w:rFonts w:ascii="Arial" w:hAnsi="Arial" w:cs="Arial"/>
          <w:color w:val="000000"/>
          <w:lang w:val="en-US"/>
        </w:rPr>
        <w:t xml:space="preserve"> </w:t>
      </w:r>
      <w:r w:rsidR="009E74E5" w:rsidRPr="00010350">
        <w:rPr>
          <w:rFonts w:ascii="Arial" w:hAnsi="Arial" w:cs="Arial"/>
          <w:color w:val="000000"/>
          <w:lang w:val="en-US"/>
        </w:rPr>
        <w:t>are</w:t>
      </w:r>
      <w:r w:rsidRPr="00010350">
        <w:rPr>
          <w:rFonts w:ascii="Arial" w:hAnsi="Arial" w:cs="Arial"/>
          <w:color w:val="000000"/>
          <w:lang w:val="en-US"/>
        </w:rPr>
        <w:t xml:space="preserve"> more closely </w:t>
      </w:r>
      <w:r w:rsidR="009E74E5" w:rsidRPr="00010350">
        <w:rPr>
          <w:rFonts w:ascii="Arial" w:hAnsi="Arial" w:cs="Arial"/>
          <w:color w:val="000000"/>
          <w:lang w:val="en-US"/>
        </w:rPr>
        <w:t>linked</w:t>
      </w:r>
      <w:r w:rsidRPr="00010350">
        <w:rPr>
          <w:rFonts w:ascii="Arial" w:hAnsi="Arial" w:cs="Arial"/>
          <w:color w:val="000000"/>
          <w:lang w:val="en-US"/>
        </w:rPr>
        <w:t xml:space="preserve"> to a genetic mutation or a previous viral or bacterial infection </w:t>
      </w:r>
      <w:r w:rsidR="005765F0">
        <w:rPr>
          <w:rFonts w:ascii="Arial" w:hAnsi="Arial" w:cs="Arial"/>
          <w:color w:val="000000"/>
          <w:lang w:val="en-US"/>
        </w:rPr>
        <w:t>cannot be answered at this point</w:t>
      </w:r>
      <w:r w:rsidRPr="00010350">
        <w:rPr>
          <w:rFonts w:ascii="Arial" w:hAnsi="Arial" w:cs="Arial"/>
          <w:color w:val="000000"/>
          <w:lang w:val="en-US"/>
        </w:rPr>
        <w:t xml:space="preserve">. </w:t>
      </w:r>
    </w:p>
    <w:p w14:paraId="415630EA" w14:textId="6391FB2D" w:rsidR="00B05B61" w:rsidRPr="00010350" w:rsidRDefault="00B05B61" w:rsidP="00ED3BBC">
      <w:pPr>
        <w:spacing w:line="276" w:lineRule="auto"/>
        <w:rPr>
          <w:rFonts w:ascii="Arial" w:hAnsi="Arial" w:cs="Arial"/>
          <w:color w:val="000000"/>
          <w:lang w:val="en-US"/>
        </w:rPr>
      </w:pPr>
      <w:r w:rsidRPr="00010350">
        <w:rPr>
          <w:rFonts w:ascii="Arial" w:hAnsi="Arial" w:cs="Arial"/>
          <w:color w:val="000000"/>
          <w:lang w:val="en-US"/>
        </w:rPr>
        <w:t xml:space="preserve">In a next step, the researchers investigated how </w:t>
      </w:r>
      <w:r w:rsidR="005765F0">
        <w:rPr>
          <w:rFonts w:ascii="Arial" w:hAnsi="Arial" w:cs="Arial"/>
          <w:color w:val="000000"/>
          <w:lang w:val="en-US"/>
        </w:rPr>
        <w:t>the inhibition of</w:t>
      </w:r>
      <w:r w:rsidRPr="00010350">
        <w:rPr>
          <w:rFonts w:ascii="Arial" w:hAnsi="Arial" w:cs="Arial"/>
          <w:color w:val="000000"/>
          <w:lang w:val="en-US"/>
        </w:rPr>
        <w:t xml:space="preserve"> TLRs and alarmins </w:t>
      </w:r>
      <w:r w:rsidR="0074195B" w:rsidRPr="00010350">
        <w:rPr>
          <w:rFonts w:ascii="Arial" w:hAnsi="Arial" w:cs="Arial"/>
          <w:color w:val="000000"/>
          <w:lang w:val="en-US"/>
        </w:rPr>
        <w:t>affects</w:t>
      </w:r>
      <w:r w:rsidRPr="00010350">
        <w:rPr>
          <w:rFonts w:ascii="Arial" w:hAnsi="Arial" w:cs="Arial"/>
          <w:color w:val="000000"/>
          <w:lang w:val="en-US"/>
        </w:rPr>
        <w:t xml:space="preserve"> the course of inflammation. “We were able to use some very advanced inhibitors. </w:t>
      </w:r>
      <w:r w:rsidR="009E74E5" w:rsidRPr="00010350">
        <w:rPr>
          <w:rFonts w:ascii="Arial" w:hAnsi="Arial" w:cs="Arial"/>
          <w:color w:val="000000"/>
          <w:lang w:val="en-US"/>
        </w:rPr>
        <w:t xml:space="preserve">In addition to our own </w:t>
      </w:r>
      <w:r w:rsidR="009E74E5" w:rsidRPr="00010350">
        <w:rPr>
          <w:rFonts w:ascii="Arial" w:hAnsi="Arial" w:cs="Arial"/>
          <w:lang w:val="en-US"/>
        </w:rPr>
        <w:t>development</w:t>
      </w:r>
      <w:r w:rsidR="00521A66" w:rsidRPr="00010350">
        <w:rPr>
          <w:rFonts w:ascii="Arial" w:hAnsi="Arial" w:cs="Arial"/>
          <w:lang w:val="en-US"/>
        </w:rPr>
        <w:t>,</w:t>
      </w:r>
      <w:r w:rsidRPr="00010350">
        <w:rPr>
          <w:rFonts w:ascii="Arial" w:hAnsi="Arial" w:cs="Arial"/>
          <w:lang w:val="en-US"/>
        </w:rPr>
        <w:t xml:space="preserve"> these included </w:t>
      </w:r>
      <w:r w:rsidR="00521A66" w:rsidRPr="00010350">
        <w:rPr>
          <w:rFonts w:ascii="Arial" w:hAnsi="Arial" w:cs="Arial"/>
          <w:lang w:val="en-US"/>
        </w:rPr>
        <w:t xml:space="preserve">TLR inhibitors </w:t>
      </w:r>
      <w:r w:rsidR="00551D3E" w:rsidRPr="00010350">
        <w:rPr>
          <w:rFonts w:ascii="Arial" w:hAnsi="Arial" w:cs="Arial"/>
          <w:lang w:val="en-US"/>
        </w:rPr>
        <w:t xml:space="preserve">that are </w:t>
      </w:r>
      <w:r w:rsidRPr="00010350">
        <w:rPr>
          <w:rFonts w:ascii="Arial" w:hAnsi="Arial" w:cs="Arial"/>
          <w:lang w:val="en-US"/>
        </w:rPr>
        <w:t xml:space="preserve">already </w:t>
      </w:r>
      <w:r w:rsidR="00551D3E" w:rsidRPr="00010350">
        <w:rPr>
          <w:rFonts w:ascii="Arial" w:hAnsi="Arial" w:cs="Arial"/>
          <w:lang w:val="en-US"/>
        </w:rPr>
        <w:t>being</w:t>
      </w:r>
      <w:r w:rsidRPr="00010350">
        <w:rPr>
          <w:rFonts w:ascii="Arial" w:hAnsi="Arial" w:cs="Arial"/>
          <w:lang w:val="en-US"/>
        </w:rPr>
        <w:t xml:space="preserve"> studied in </w:t>
      </w:r>
      <w:r w:rsidR="00521A66" w:rsidRPr="00010350">
        <w:rPr>
          <w:rFonts w:ascii="Arial" w:hAnsi="Arial" w:cs="Arial"/>
          <w:lang w:val="en-US"/>
        </w:rPr>
        <w:t xml:space="preserve">a </w:t>
      </w:r>
      <w:r w:rsidRPr="00010350">
        <w:rPr>
          <w:rFonts w:ascii="Arial" w:hAnsi="Arial" w:cs="Arial"/>
          <w:lang w:val="en-US"/>
        </w:rPr>
        <w:t xml:space="preserve">clinical trial for autoimmune and inflammatory diseases such as lupus and </w:t>
      </w:r>
      <w:r w:rsidR="00551D3E" w:rsidRPr="00010350">
        <w:rPr>
          <w:rFonts w:ascii="Arial" w:hAnsi="Arial" w:cs="Arial"/>
          <w:lang w:val="en-US"/>
        </w:rPr>
        <w:t xml:space="preserve">that </w:t>
      </w:r>
      <w:r w:rsidR="00551D3E" w:rsidRPr="00010350">
        <w:rPr>
          <w:rFonts w:ascii="Arial" w:hAnsi="Arial" w:cs="Arial"/>
          <w:color w:val="000000"/>
          <w:lang w:val="en-US"/>
        </w:rPr>
        <w:t>have</w:t>
      </w:r>
      <w:r w:rsidR="00551D3E" w:rsidRPr="00010350">
        <w:rPr>
          <w:rFonts w:ascii="Arial" w:hAnsi="Arial" w:cs="Arial"/>
          <w:lang w:val="en-US"/>
        </w:rPr>
        <w:t xml:space="preserve"> not</w:t>
      </w:r>
      <w:r w:rsidRPr="00010350">
        <w:rPr>
          <w:rFonts w:ascii="Arial" w:hAnsi="Arial" w:cs="Arial"/>
          <w:lang w:val="en-US"/>
        </w:rPr>
        <w:t xml:space="preserve"> yet </w:t>
      </w:r>
      <w:r w:rsidR="00551D3E" w:rsidRPr="00010350">
        <w:rPr>
          <w:rFonts w:ascii="Arial" w:hAnsi="Arial" w:cs="Arial"/>
          <w:color w:val="000000"/>
          <w:lang w:val="en-US"/>
        </w:rPr>
        <w:t>been</w:t>
      </w:r>
      <w:r w:rsidRPr="00010350">
        <w:rPr>
          <w:rFonts w:ascii="Arial" w:hAnsi="Arial" w:cs="Arial"/>
          <w:lang w:val="en-US"/>
        </w:rPr>
        <w:t xml:space="preserve"> tested for PMR or </w:t>
      </w:r>
      <w:r w:rsidR="005765F0">
        <w:rPr>
          <w:rFonts w:ascii="Arial" w:hAnsi="Arial" w:cs="Arial"/>
          <w:lang w:val="en-US"/>
        </w:rPr>
        <w:t>GCA</w:t>
      </w:r>
      <w:r w:rsidRPr="00010350">
        <w:rPr>
          <w:rFonts w:ascii="Arial" w:hAnsi="Arial" w:cs="Arial"/>
          <w:color w:val="000000"/>
          <w:lang w:val="en-US"/>
        </w:rPr>
        <w:t xml:space="preserve">,” </w:t>
      </w:r>
      <w:r w:rsidR="005765F0">
        <w:rPr>
          <w:rFonts w:ascii="Arial" w:hAnsi="Arial" w:cs="Arial"/>
          <w:color w:val="000000"/>
          <w:lang w:val="en-US"/>
        </w:rPr>
        <w:t>notes</w:t>
      </w:r>
      <w:r w:rsidRPr="00010350">
        <w:rPr>
          <w:rFonts w:ascii="Arial" w:hAnsi="Arial" w:cs="Arial"/>
          <w:color w:val="000000"/>
          <w:lang w:val="en-US"/>
        </w:rPr>
        <w:t xml:space="preserve"> Santos-Sierra. “In fact, it turned out that these agents can reduce inflammation.” However, for future use as a therapeutic agent, a balance must be struck between the desired anti-inflammatory effect and the risk of excessive immunosuppression.</w:t>
      </w:r>
    </w:p>
    <w:p w14:paraId="229F5E25" w14:textId="487F42E0" w:rsidR="00B05B61" w:rsidRPr="00010350" w:rsidRDefault="00B05B61" w:rsidP="00ED3BBC">
      <w:pPr>
        <w:spacing w:line="276" w:lineRule="auto"/>
        <w:rPr>
          <w:rFonts w:ascii="Arial" w:hAnsi="Arial" w:cs="Arial"/>
          <w:b/>
          <w:color w:val="000000"/>
          <w:lang w:val="en-US"/>
        </w:rPr>
      </w:pPr>
      <w:r w:rsidRPr="00010350">
        <w:rPr>
          <w:rFonts w:ascii="Arial" w:hAnsi="Arial" w:cs="Arial"/>
          <w:b/>
          <w:color w:val="000000"/>
          <w:lang w:val="en-US"/>
        </w:rPr>
        <w:t xml:space="preserve">Biomarkers </w:t>
      </w:r>
      <w:r w:rsidR="005765F0" w:rsidRPr="00010350">
        <w:rPr>
          <w:rFonts w:ascii="Arial" w:hAnsi="Arial" w:cs="Arial"/>
          <w:b/>
          <w:color w:val="000000"/>
          <w:lang w:val="en-US"/>
        </w:rPr>
        <w:t>could improve diagnosis</w:t>
      </w:r>
    </w:p>
    <w:p w14:paraId="56EB82D0" w14:textId="6BE6B226" w:rsidR="00B05B61" w:rsidRPr="00010350" w:rsidRDefault="00B05B61" w:rsidP="00ED3BBC">
      <w:pPr>
        <w:spacing w:line="276" w:lineRule="auto"/>
        <w:rPr>
          <w:rFonts w:ascii="Arial" w:hAnsi="Arial" w:cs="Arial"/>
          <w:color w:val="000000"/>
          <w:lang w:val="en-US"/>
        </w:rPr>
      </w:pPr>
      <w:r w:rsidRPr="00010350">
        <w:rPr>
          <w:rFonts w:ascii="Arial" w:hAnsi="Arial" w:cs="Arial"/>
          <w:color w:val="000000"/>
          <w:lang w:val="en-US"/>
        </w:rPr>
        <w:t>The researchers also analyzed</w:t>
      </w:r>
      <w:r w:rsidR="005765F0">
        <w:rPr>
          <w:rFonts w:ascii="Arial" w:hAnsi="Arial" w:cs="Arial"/>
          <w:color w:val="000000"/>
          <w:lang w:val="en-US"/>
        </w:rPr>
        <w:t xml:space="preserve"> another aspect in </w:t>
      </w:r>
      <w:r w:rsidRPr="00010350">
        <w:rPr>
          <w:rFonts w:ascii="Arial" w:hAnsi="Arial" w:cs="Arial"/>
          <w:color w:val="000000"/>
          <w:lang w:val="en-US"/>
        </w:rPr>
        <w:t xml:space="preserve">the blood samples. Using high-precision </w:t>
      </w:r>
      <w:r w:rsidRPr="00010350">
        <w:rPr>
          <w:rFonts w:ascii="Arial" w:hAnsi="Arial" w:cs="Arial"/>
          <w:lang w:val="en-US"/>
        </w:rPr>
        <w:t>mass spectrometry</w:t>
      </w:r>
      <w:r w:rsidR="005765F0">
        <w:rPr>
          <w:rFonts w:ascii="Arial" w:hAnsi="Arial" w:cs="Arial"/>
          <w:lang w:val="en-US"/>
        </w:rPr>
        <w:t xml:space="preserve"> – </w:t>
      </w:r>
      <w:r w:rsidRPr="00010350">
        <w:rPr>
          <w:rFonts w:ascii="Arial" w:hAnsi="Arial" w:cs="Arial"/>
          <w:lang w:val="en-US"/>
        </w:rPr>
        <w:t xml:space="preserve">which identifies molecules based on </w:t>
      </w:r>
      <w:r w:rsidR="00521A66" w:rsidRPr="00010350">
        <w:rPr>
          <w:rFonts w:ascii="Arial" w:hAnsi="Arial" w:cs="Arial"/>
          <w:lang w:val="en-US"/>
        </w:rPr>
        <w:t xml:space="preserve">their </w:t>
      </w:r>
      <w:r w:rsidR="00B65CEF" w:rsidRPr="00010350">
        <w:rPr>
          <w:rFonts w:ascii="Arial" w:hAnsi="Arial" w:cs="Arial"/>
          <w:lang w:val="en-US"/>
        </w:rPr>
        <w:t>mass-to-charge</w:t>
      </w:r>
      <w:r w:rsidR="00521A66" w:rsidRPr="00010350">
        <w:rPr>
          <w:rFonts w:ascii="Arial" w:hAnsi="Arial" w:cs="Arial"/>
          <w:lang w:val="en-US"/>
        </w:rPr>
        <w:t xml:space="preserve"> ratio</w:t>
      </w:r>
      <w:r w:rsidR="005765F0">
        <w:rPr>
          <w:rFonts w:ascii="Arial" w:hAnsi="Arial" w:cs="Arial"/>
          <w:lang w:val="en-US"/>
        </w:rPr>
        <w:t xml:space="preserve"> – </w:t>
      </w:r>
      <w:r w:rsidRPr="00010350">
        <w:rPr>
          <w:rFonts w:ascii="Arial" w:hAnsi="Arial" w:cs="Arial"/>
          <w:lang w:val="en-US"/>
        </w:rPr>
        <w:t xml:space="preserve">they compared the plasma of PMR and </w:t>
      </w:r>
      <w:r w:rsidR="005765F0">
        <w:rPr>
          <w:rFonts w:ascii="Arial" w:hAnsi="Arial" w:cs="Arial"/>
          <w:lang w:val="en-US"/>
        </w:rPr>
        <w:t>GCA</w:t>
      </w:r>
      <w:r w:rsidRPr="00010350">
        <w:rPr>
          <w:rFonts w:ascii="Arial" w:hAnsi="Arial" w:cs="Arial"/>
          <w:lang w:val="en-US"/>
        </w:rPr>
        <w:t xml:space="preserve"> patients. </w:t>
      </w:r>
      <w:r w:rsidR="005765F0">
        <w:rPr>
          <w:rFonts w:ascii="Arial" w:hAnsi="Arial" w:cs="Arial"/>
          <w:lang w:val="en-US"/>
        </w:rPr>
        <w:t>Again,</w:t>
      </w:r>
      <w:r w:rsidRPr="00010350">
        <w:rPr>
          <w:rFonts w:ascii="Arial" w:hAnsi="Arial" w:cs="Arial"/>
          <w:lang w:val="en-US"/>
        </w:rPr>
        <w:t xml:space="preserve"> the result was surprising: “Until now, it was assumed that the two diseases were closely linked. However, we have found </w:t>
      </w:r>
      <w:r w:rsidR="00535A0D" w:rsidRPr="00010350">
        <w:rPr>
          <w:rFonts w:ascii="Arial" w:hAnsi="Arial" w:cs="Arial"/>
          <w:lang w:val="en-US"/>
        </w:rPr>
        <w:t xml:space="preserve">that the disease-associated proteins indicate significant differences between PMR and </w:t>
      </w:r>
      <w:r w:rsidR="005765F0">
        <w:rPr>
          <w:rFonts w:ascii="Arial" w:hAnsi="Arial" w:cs="Arial"/>
          <w:lang w:val="en-US"/>
        </w:rPr>
        <w:t>GCA</w:t>
      </w:r>
      <w:r w:rsidRPr="00010350">
        <w:rPr>
          <w:rFonts w:ascii="Arial" w:hAnsi="Arial" w:cs="Arial"/>
          <w:lang w:val="en-US"/>
        </w:rPr>
        <w:t xml:space="preserve">.” Of a total of 146 altered protein signatures, the two diseases share only 9 percent, </w:t>
      </w:r>
      <w:r w:rsidRPr="00010350">
        <w:rPr>
          <w:rFonts w:ascii="Arial" w:hAnsi="Arial" w:cs="Arial"/>
          <w:color w:val="000000"/>
          <w:lang w:val="en-US"/>
        </w:rPr>
        <w:t xml:space="preserve">the researchers </w:t>
      </w:r>
      <w:r w:rsidR="005765F0">
        <w:rPr>
          <w:rFonts w:ascii="Arial" w:hAnsi="Arial" w:cs="Arial"/>
          <w:lang w:val="en-US"/>
        </w:rPr>
        <w:t>note</w:t>
      </w:r>
      <w:r w:rsidRPr="00010350">
        <w:rPr>
          <w:rFonts w:ascii="Arial" w:hAnsi="Arial" w:cs="Arial"/>
          <w:lang w:val="en-US"/>
        </w:rPr>
        <w:t xml:space="preserve"> </w:t>
      </w:r>
      <w:r w:rsidRPr="00010350">
        <w:rPr>
          <w:rFonts w:ascii="Arial" w:hAnsi="Arial" w:cs="Arial"/>
          <w:color w:val="000000"/>
          <w:lang w:val="en-US"/>
        </w:rPr>
        <w:t xml:space="preserve">in their </w:t>
      </w:r>
      <w:hyperlink r:id="rId8" w:history="1">
        <w:r w:rsidRPr="00010350">
          <w:rPr>
            <w:rStyle w:val="Hyperlink"/>
            <w:rFonts w:ascii="Arial" w:hAnsi="Arial" w:cs="Arial"/>
            <w:lang w:val="en-US"/>
          </w:rPr>
          <w:t>study</w:t>
        </w:r>
      </w:hyperlink>
      <w:r w:rsidRPr="00010350">
        <w:rPr>
          <w:rFonts w:ascii="Arial" w:hAnsi="Arial" w:cs="Arial"/>
          <w:color w:val="000000"/>
          <w:lang w:val="en-US"/>
        </w:rPr>
        <w:t xml:space="preserve">. Some of the proteins point to signaling pathways that have not yet been associated with PMR or </w:t>
      </w:r>
      <w:r w:rsidR="005765F0">
        <w:rPr>
          <w:rFonts w:ascii="Arial" w:hAnsi="Arial" w:cs="Arial"/>
          <w:color w:val="000000"/>
          <w:lang w:val="en-US"/>
        </w:rPr>
        <w:t xml:space="preserve">GCA – </w:t>
      </w:r>
      <w:r w:rsidRPr="00010350">
        <w:rPr>
          <w:rFonts w:ascii="Arial" w:hAnsi="Arial" w:cs="Arial"/>
          <w:color w:val="000000"/>
          <w:lang w:val="en-US"/>
        </w:rPr>
        <w:t xml:space="preserve">and which need to be investigated for their therapeutic relevance. And </w:t>
      </w:r>
      <w:r w:rsidR="005765F0">
        <w:rPr>
          <w:rFonts w:ascii="Arial" w:hAnsi="Arial" w:cs="Arial"/>
          <w:color w:val="000000"/>
          <w:lang w:val="en-US"/>
        </w:rPr>
        <w:t>there is one more conceivable</w:t>
      </w:r>
      <w:r w:rsidRPr="00010350">
        <w:rPr>
          <w:rFonts w:ascii="Arial" w:hAnsi="Arial" w:cs="Arial"/>
          <w:color w:val="000000"/>
          <w:lang w:val="en-US"/>
        </w:rPr>
        <w:t xml:space="preserve"> clinical application: “Some of the proteins could potentially serve as biomarkers for a more accurate diagnosis,” says Santos-Sierra.    </w:t>
      </w:r>
    </w:p>
    <w:p w14:paraId="24064972" w14:textId="332831F5" w:rsidR="00B05B61" w:rsidRPr="00010350" w:rsidRDefault="00B05B61" w:rsidP="00ED3BBC">
      <w:pPr>
        <w:spacing w:line="276" w:lineRule="auto"/>
        <w:rPr>
          <w:rFonts w:ascii="Arial" w:hAnsi="Arial" w:cs="Arial"/>
          <w:color w:val="000000"/>
          <w:lang w:val="en-US"/>
        </w:rPr>
      </w:pPr>
      <w:r w:rsidRPr="00010350">
        <w:rPr>
          <w:rFonts w:ascii="Arial" w:hAnsi="Arial" w:cs="Arial"/>
          <w:color w:val="000000"/>
          <w:lang w:val="en-US"/>
        </w:rPr>
        <w:t xml:space="preserve">A major obstacle in the study of rheumatic </w:t>
      </w:r>
      <w:r w:rsidR="009E74E5" w:rsidRPr="00010350">
        <w:rPr>
          <w:rFonts w:ascii="Arial" w:hAnsi="Arial" w:cs="Arial"/>
          <w:color w:val="000000"/>
          <w:lang w:val="en-US"/>
        </w:rPr>
        <w:t>diseases</w:t>
      </w:r>
      <w:r w:rsidR="005765F0">
        <w:rPr>
          <w:rFonts w:ascii="Arial" w:hAnsi="Arial" w:cs="Arial"/>
          <w:color w:val="000000"/>
          <w:lang w:val="en-US"/>
        </w:rPr>
        <w:t xml:space="preserve"> resides in the fact</w:t>
      </w:r>
      <w:r w:rsidR="009E74E5" w:rsidRPr="00010350">
        <w:rPr>
          <w:rFonts w:ascii="Arial" w:hAnsi="Arial" w:cs="Arial"/>
          <w:color w:val="000000"/>
          <w:lang w:val="en-US"/>
        </w:rPr>
        <w:t xml:space="preserve"> that </w:t>
      </w:r>
      <w:r w:rsidRPr="00010350">
        <w:rPr>
          <w:rFonts w:ascii="Arial" w:hAnsi="Arial" w:cs="Arial"/>
          <w:color w:val="000000"/>
          <w:lang w:val="en-US"/>
        </w:rPr>
        <w:t xml:space="preserve">animal models </w:t>
      </w:r>
      <w:r w:rsidR="000F2E47" w:rsidRPr="00010350">
        <w:rPr>
          <w:rFonts w:ascii="Arial" w:hAnsi="Arial" w:cs="Arial"/>
          <w:color w:val="000000"/>
          <w:lang w:val="en-US"/>
        </w:rPr>
        <w:t xml:space="preserve">do not always </w:t>
      </w:r>
      <w:r w:rsidR="00561D56" w:rsidRPr="00010350">
        <w:rPr>
          <w:rFonts w:ascii="Arial" w:hAnsi="Arial" w:cs="Arial"/>
          <w:color w:val="000000"/>
          <w:lang w:val="en-US"/>
        </w:rPr>
        <w:t>replicate</w:t>
      </w:r>
      <w:r w:rsidR="000F2E47" w:rsidRPr="00010350">
        <w:rPr>
          <w:rFonts w:ascii="Arial" w:hAnsi="Arial" w:cs="Arial"/>
          <w:color w:val="000000"/>
          <w:lang w:val="en-US"/>
        </w:rPr>
        <w:t xml:space="preserve"> the clinical picture</w:t>
      </w:r>
      <w:r w:rsidR="009E74E5" w:rsidRPr="00010350">
        <w:rPr>
          <w:rFonts w:ascii="Arial" w:hAnsi="Arial" w:cs="Arial"/>
          <w:color w:val="000000"/>
          <w:lang w:val="en-US"/>
        </w:rPr>
        <w:t xml:space="preserve">. </w:t>
      </w:r>
      <w:r w:rsidR="00030DCE" w:rsidRPr="00010350">
        <w:rPr>
          <w:rFonts w:ascii="Arial" w:hAnsi="Arial" w:cs="Arial"/>
          <w:color w:val="000000"/>
          <w:lang w:val="en-US"/>
        </w:rPr>
        <w:t xml:space="preserve">Nevertheless, </w:t>
      </w:r>
      <w:r w:rsidR="009E74E5" w:rsidRPr="00010350">
        <w:rPr>
          <w:rFonts w:ascii="Arial" w:hAnsi="Arial" w:cs="Arial"/>
          <w:color w:val="000000"/>
          <w:lang w:val="en-US"/>
        </w:rPr>
        <w:t xml:space="preserve">an </w:t>
      </w:r>
      <w:r w:rsidRPr="00010350">
        <w:rPr>
          <w:rFonts w:ascii="Arial" w:hAnsi="Arial" w:cs="Arial"/>
          <w:color w:val="000000"/>
          <w:lang w:val="en-US"/>
        </w:rPr>
        <w:t>in vivo study will be the focus of a follow-up project</w:t>
      </w:r>
      <w:r w:rsidR="00A00D2D" w:rsidRPr="00010350">
        <w:rPr>
          <w:rFonts w:ascii="Arial" w:hAnsi="Arial" w:cs="Arial"/>
          <w:color w:val="000000"/>
          <w:lang w:val="en-US"/>
        </w:rPr>
        <w:t xml:space="preserve">. </w:t>
      </w:r>
      <w:r w:rsidR="005765F0">
        <w:rPr>
          <w:rFonts w:ascii="Arial" w:hAnsi="Arial" w:cs="Arial"/>
          <w:color w:val="000000"/>
          <w:lang w:val="en-US"/>
        </w:rPr>
        <w:t>S</w:t>
      </w:r>
      <w:r w:rsidR="00625D61">
        <w:rPr>
          <w:rFonts w:ascii="Arial" w:hAnsi="Arial" w:cs="Arial"/>
          <w:color w:val="000000"/>
          <w:lang w:val="en-US"/>
        </w:rPr>
        <w:t>antos-Sierra also emphasizes that she</w:t>
      </w:r>
      <w:r w:rsidR="005765F0">
        <w:rPr>
          <w:rFonts w:ascii="Arial" w:hAnsi="Arial" w:cs="Arial"/>
          <w:color w:val="000000"/>
          <w:lang w:val="en-US"/>
        </w:rPr>
        <w:t xml:space="preserve"> intend</w:t>
      </w:r>
      <w:r w:rsidR="00625D61">
        <w:rPr>
          <w:rFonts w:ascii="Arial" w:hAnsi="Arial" w:cs="Arial"/>
          <w:color w:val="000000"/>
          <w:lang w:val="en-US"/>
        </w:rPr>
        <w:t>s</w:t>
      </w:r>
      <w:r w:rsidRPr="00010350">
        <w:rPr>
          <w:rFonts w:ascii="Arial" w:hAnsi="Arial" w:cs="Arial"/>
          <w:color w:val="000000"/>
          <w:lang w:val="en-US"/>
        </w:rPr>
        <w:t xml:space="preserve"> to investigate why some patients develop resistance to treatment with corticosteroids. “The project, which is now coming to a close, has raised many new research questions. In the coming years, we will try to answer as many of them as possible.”</w:t>
      </w:r>
    </w:p>
    <w:p w14:paraId="2FBE6BDE" w14:textId="77777777" w:rsidR="00110CFC" w:rsidRDefault="00110CFC" w:rsidP="00ED3BBC">
      <w:pPr>
        <w:spacing w:line="276" w:lineRule="auto"/>
        <w:rPr>
          <w:rFonts w:ascii="Arial" w:hAnsi="Arial" w:cs="Arial"/>
          <w:b/>
          <w:lang w:val="en-US"/>
        </w:rPr>
      </w:pPr>
    </w:p>
    <w:p w14:paraId="3A42B12B" w14:textId="77777777" w:rsidR="00110CFC" w:rsidRDefault="00110CFC" w:rsidP="00ED3BBC">
      <w:pPr>
        <w:spacing w:line="276" w:lineRule="auto"/>
        <w:rPr>
          <w:rFonts w:ascii="Arial" w:hAnsi="Arial" w:cs="Arial"/>
          <w:b/>
          <w:lang w:val="en-US"/>
        </w:rPr>
      </w:pPr>
    </w:p>
    <w:p w14:paraId="453FCD18" w14:textId="373D0056" w:rsidR="00B05B61" w:rsidRPr="00010350" w:rsidRDefault="00B05B61" w:rsidP="00ED3BBC">
      <w:pPr>
        <w:spacing w:line="276" w:lineRule="auto"/>
        <w:rPr>
          <w:rFonts w:ascii="Arial" w:hAnsi="Arial" w:cs="Arial"/>
          <w:b/>
          <w:lang w:val="en-US"/>
        </w:rPr>
      </w:pPr>
      <w:r w:rsidRPr="00010350">
        <w:rPr>
          <w:rFonts w:ascii="Arial" w:hAnsi="Arial" w:cs="Arial"/>
          <w:b/>
          <w:lang w:val="en-US"/>
        </w:rPr>
        <w:t xml:space="preserve">About the </w:t>
      </w:r>
      <w:r w:rsidR="00625D61" w:rsidRPr="00010350">
        <w:rPr>
          <w:rFonts w:ascii="Arial" w:hAnsi="Arial" w:cs="Arial"/>
          <w:b/>
          <w:lang w:val="en-US"/>
        </w:rPr>
        <w:t>researcher</w:t>
      </w:r>
    </w:p>
    <w:p w14:paraId="3BABEBC8" w14:textId="40616132" w:rsidR="00B05B61" w:rsidRPr="00010350" w:rsidRDefault="00110CFC" w:rsidP="00ED3BBC">
      <w:pPr>
        <w:spacing w:line="276" w:lineRule="auto"/>
        <w:rPr>
          <w:rFonts w:ascii="Arial" w:hAnsi="Arial" w:cs="Arial"/>
          <w:color w:val="000000"/>
          <w:lang w:val="en-US"/>
        </w:rPr>
      </w:pPr>
      <w:hyperlink r:id="rId9" w:history="1">
        <w:r w:rsidR="00B05B61" w:rsidRPr="00010350">
          <w:rPr>
            <w:rStyle w:val="Hyperlink"/>
            <w:rFonts w:ascii="Arial" w:hAnsi="Arial" w:cs="Arial"/>
            <w:lang w:val="en-US"/>
          </w:rPr>
          <w:t>Sandra Santos-Sierra</w:t>
        </w:r>
      </w:hyperlink>
      <w:r w:rsidR="00030DCE" w:rsidRPr="00010350">
        <w:rPr>
          <w:rFonts w:ascii="Arial" w:hAnsi="Arial" w:cs="Arial"/>
          <w:lang w:val="en-US"/>
        </w:rPr>
        <w:t xml:space="preserve"> </w:t>
      </w:r>
      <w:r w:rsidR="00625D61">
        <w:rPr>
          <w:rFonts w:ascii="Arial" w:hAnsi="Arial" w:cs="Arial"/>
          <w:lang w:val="en-US"/>
        </w:rPr>
        <w:t>is the head of</w:t>
      </w:r>
      <w:r w:rsidR="00030DCE" w:rsidRPr="00010350">
        <w:rPr>
          <w:rFonts w:ascii="Arial" w:hAnsi="Arial" w:cs="Arial"/>
          <w:lang w:val="en-US"/>
        </w:rPr>
        <w:t xml:space="preserve"> a research group </w:t>
      </w:r>
      <w:r w:rsidR="00A122FC" w:rsidRPr="00010350">
        <w:rPr>
          <w:rFonts w:ascii="Arial" w:hAnsi="Arial" w:cs="Arial"/>
          <w:lang w:val="en-US"/>
        </w:rPr>
        <w:t xml:space="preserve">at the Institute of Pharmacology at </w:t>
      </w:r>
      <w:r w:rsidR="00B05B61" w:rsidRPr="00010350">
        <w:rPr>
          <w:rFonts w:ascii="Arial" w:hAnsi="Arial" w:cs="Arial"/>
          <w:lang w:val="en-US"/>
        </w:rPr>
        <w:t xml:space="preserve">the Medical University of Innsbruck. She studied chemistry </w:t>
      </w:r>
      <w:r w:rsidR="00A122FC" w:rsidRPr="00010350">
        <w:rPr>
          <w:rFonts w:ascii="Arial" w:hAnsi="Arial" w:cs="Arial"/>
          <w:lang w:val="en-US"/>
        </w:rPr>
        <w:t xml:space="preserve">at </w:t>
      </w:r>
      <w:proofErr w:type="spellStart"/>
      <w:r w:rsidR="00A122FC" w:rsidRPr="00010350">
        <w:rPr>
          <w:rFonts w:ascii="Arial" w:hAnsi="Arial" w:cs="Arial"/>
          <w:lang w:val="en-US"/>
        </w:rPr>
        <w:t>Complutense</w:t>
      </w:r>
      <w:proofErr w:type="spellEnd"/>
      <w:r w:rsidR="00A122FC" w:rsidRPr="00010350">
        <w:rPr>
          <w:rFonts w:ascii="Arial" w:hAnsi="Arial" w:cs="Arial"/>
          <w:lang w:val="en-US"/>
        </w:rPr>
        <w:t xml:space="preserve"> University </w:t>
      </w:r>
      <w:r w:rsidR="00B05B61" w:rsidRPr="00010350">
        <w:rPr>
          <w:rFonts w:ascii="Arial" w:hAnsi="Arial" w:cs="Arial"/>
          <w:lang w:val="en-US"/>
        </w:rPr>
        <w:t xml:space="preserve">and </w:t>
      </w:r>
      <w:r w:rsidR="00A122FC" w:rsidRPr="00010350">
        <w:rPr>
          <w:rFonts w:ascii="Arial" w:hAnsi="Arial" w:cs="Arial"/>
          <w:lang w:val="en-US"/>
        </w:rPr>
        <w:t xml:space="preserve">earned her Ph.D. in </w:t>
      </w:r>
      <w:r w:rsidR="00B05B61" w:rsidRPr="00010350">
        <w:rPr>
          <w:rFonts w:ascii="Arial" w:hAnsi="Arial" w:cs="Arial"/>
          <w:lang w:val="en-US"/>
        </w:rPr>
        <w:t xml:space="preserve">molecular microbiology </w:t>
      </w:r>
      <w:r w:rsidR="000C7E2E" w:rsidRPr="00010350">
        <w:rPr>
          <w:rFonts w:ascii="Arial" w:hAnsi="Arial" w:cs="Arial"/>
          <w:lang w:val="en-US"/>
        </w:rPr>
        <w:t xml:space="preserve">at </w:t>
      </w:r>
      <w:r w:rsidR="00B05B61" w:rsidRPr="00010350">
        <w:rPr>
          <w:rFonts w:ascii="Arial" w:hAnsi="Arial" w:cs="Arial"/>
          <w:lang w:val="en-US"/>
        </w:rPr>
        <w:t xml:space="preserve">the CIB (Centro de </w:t>
      </w:r>
      <w:proofErr w:type="spellStart"/>
      <w:r w:rsidR="00B05B61" w:rsidRPr="00010350">
        <w:rPr>
          <w:rFonts w:ascii="Arial" w:hAnsi="Arial" w:cs="Arial"/>
          <w:lang w:val="en-US"/>
        </w:rPr>
        <w:t>Investigaciones</w:t>
      </w:r>
      <w:proofErr w:type="spellEnd"/>
      <w:r w:rsidR="00B05B61" w:rsidRPr="00010350">
        <w:rPr>
          <w:rFonts w:ascii="Arial" w:hAnsi="Arial" w:cs="Arial"/>
          <w:lang w:val="en-US"/>
        </w:rPr>
        <w:t xml:space="preserve"> </w:t>
      </w:r>
      <w:proofErr w:type="spellStart"/>
      <w:r w:rsidR="00B05B61" w:rsidRPr="00010350">
        <w:rPr>
          <w:rFonts w:ascii="Arial" w:hAnsi="Arial" w:cs="Arial"/>
          <w:lang w:val="en-US"/>
        </w:rPr>
        <w:t>Biológicas</w:t>
      </w:r>
      <w:proofErr w:type="spellEnd"/>
      <w:r w:rsidR="00B05B61" w:rsidRPr="00010350">
        <w:rPr>
          <w:rFonts w:ascii="Arial" w:hAnsi="Arial" w:cs="Arial"/>
          <w:lang w:val="en-US"/>
        </w:rPr>
        <w:t xml:space="preserve">) in Madrid. In 2009, she joined the Medical University of Innsbruck, where she earned her </w:t>
      </w:r>
      <w:proofErr w:type="spellStart"/>
      <w:r w:rsidR="00625D61">
        <w:rPr>
          <w:rFonts w:ascii="Arial" w:hAnsi="Arial" w:cs="Arial"/>
          <w:lang w:val="en-US"/>
        </w:rPr>
        <w:t>venia</w:t>
      </w:r>
      <w:proofErr w:type="spellEnd"/>
      <w:r w:rsidR="00625D61">
        <w:rPr>
          <w:rFonts w:ascii="Arial" w:hAnsi="Arial" w:cs="Arial"/>
          <w:lang w:val="en-US"/>
        </w:rPr>
        <w:t xml:space="preserve"> </w:t>
      </w:r>
      <w:proofErr w:type="spellStart"/>
      <w:r w:rsidR="00625D61">
        <w:rPr>
          <w:rFonts w:ascii="Arial" w:hAnsi="Arial" w:cs="Arial"/>
          <w:lang w:val="en-US"/>
        </w:rPr>
        <w:t>docendi</w:t>
      </w:r>
      <w:proofErr w:type="spellEnd"/>
      <w:r w:rsidR="00446FE6" w:rsidRPr="00010350">
        <w:rPr>
          <w:rFonts w:ascii="Arial" w:hAnsi="Arial" w:cs="Arial"/>
          <w:lang w:val="en-US"/>
        </w:rPr>
        <w:t xml:space="preserve"> in pharmacology and toxicology </w:t>
      </w:r>
      <w:r w:rsidR="00B05B61" w:rsidRPr="00010350">
        <w:rPr>
          <w:rFonts w:ascii="Arial" w:hAnsi="Arial" w:cs="Arial"/>
          <w:lang w:val="en-US"/>
        </w:rPr>
        <w:t xml:space="preserve">in 2018. </w:t>
      </w:r>
      <w:r w:rsidR="00625D61">
        <w:rPr>
          <w:rFonts w:ascii="Arial" w:hAnsi="Arial" w:cs="Arial"/>
          <w:lang w:val="en-US"/>
        </w:rPr>
        <w:t>Besides</w:t>
      </w:r>
      <w:r w:rsidR="00B01047" w:rsidRPr="00010350">
        <w:rPr>
          <w:rFonts w:ascii="Arial" w:hAnsi="Arial" w:cs="Arial"/>
          <w:lang w:val="en-US"/>
        </w:rPr>
        <w:t xml:space="preserve"> rheumatic diseases, </w:t>
      </w:r>
      <w:r w:rsidR="00030DCE" w:rsidRPr="00010350">
        <w:rPr>
          <w:rFonts w:ascii="Arial" w:hAnsi="Arial" w:cs="Arial"/>
          <w:lang w:val="en-US"/>
        </w:rPr>
        <w:t xml:space="preserve">Santos-Sierra’s research focuses on </w:t>
      </w:r>
      <w:r w:rsidR="00446FE6" w:rsidRPr="00010350">
        <w:rPr>
          <w:rFonts w:ascii="Arial" w:hAnsi="Arial" w:cs="Arial"/>
          <w:lang w:val="en-US"/>
        </w:rPr>
        <w:t xml:space="preserve">the role of TLRs and </w:t>
      </w:r>
      <w:r w:rsidR="00795141" w:rsidRPr="00010350">
        <w:rPr>
          <w:rFonts w:ascii="Arial" w:hAnsi="Arial" w:cs="Arial"/>
          <w:lang w:val="en-US"/>
        </w:rPr>
        <w:t>innate</w:t>
      </w:r>
      <w:r w:rsidR="00446FE6" w:rsidRPr="00010350">
        <w:rPr>
          <w:rFonts w:ascii="Arial" w:hAnsi="Arial" w:cs="Arial"/>
          <w:lang w:val="en-US"/>
        </w:rPr>
        <w:t xml:space="preserve"> </w:t>
      </w:r>
      <w:r w:rsidR="00030DCE" w:rsidRPr="00010350">
        <w:rPr>
          <w:rFonts w:ascii="Arial" w:hAnsi="Arial" w:cs="Arial"/>
          <w:lang w:val="en-US"/>
        </w:rPr>
        <w:t>immunity in neuronal cells</w:t>
      </w:r>
      <w:r w:rsidR="00B01047" w:rsidRPr="00010350">
        <w:rPr>
          <w:rFonts w:ascii="Arial" w:hAnsi="Arial" w:cs="Arial"/>
          <w:lang w:val="en-US"/>
        </w:rPr>
        <w:t xml:space="preserve">. </w:t>
      </w:r>
      <w:r w:rsidR="00625D61">
        <w:rPr>
          <w:rFonts w:ascii="Arial" w:hAnsi="Arial" w:cs="Arial"/>
          <w:lang w:val="en-US"/>
        </w:rPr>
        <w:t>Set to run from 2022 to 2026, t</w:t>
      </w:r>
      <w:r w:rsidR="00B05B61" w:rsidRPr="00010350">
        <w:rPr>
          <w:rFonts w:ascii="Arial" w:hAnsi="Arial" w:cs="Arial"/>
          <w:lang w:val="en-US"/>
        </w:rPr>
        <w:t xml:space="preserve">he project </w:t>
      </w:r>
      <w:hyperlink r:id="rId10" w:history="1">
        <w:r w:rsidR="00B26C9F" w:rsidRPr="00010350">
          <w:rPr>
            <w:rStyle w:val="Hyperlink"/>
            <w:rFonts w:ascii="Arial" w:hAnsi="Arial" w:cs="Arial"/>
            <w:lang w:val="en-US"/>
          </w:rPr>
          <w:t xml:space="preserve">“Novel </w:t>
        </w:r>
        <w:r w:rsidR="00625D61">
          <w:rPr>
            <w:rStyle w:val="Hyperlink"/>
            <w:rFonts w:ascii="Arial" w:hAnsi="Arial" w:cs="Arial"/>
            <w:lang w:val="en-US"/>
          </w:rPr>
          <w:t>a</w:t>
        </w:r>
        <w:r w:rsidR="00B26C9F" w:rsidRPr="00010350">
          <w:rPr>
            <w:rStyle w:val="Hyperlink"/>
            <w:rFonts w:ascii="Arial" w:hAnsi="Arial" w:cs="Arial"/>
            <w:lang w:val="en-US"/>
          </w:rPr>
          <w:t>nti-</w:t>
        </w:r>
        <w:r w:rsidR="00625D61">
          <w:rPr>
            <w:rStyle w:val="Hyperlink"/>
            <w:rFonts w:ascii="Arial" w:hAnsi="Arial" w:cs="Arial"/>
            <w:lang w:val="en-US"/>
          </w:rPr>
          <w:t>i</w:t>
        </w:r>
        <w:r w:rsidR="00B26C9F" w:rsidRPr="00010350">
          <w:rPr>
            <w:rStyle w:val="Hyperlink"/>
            <w:rFonts w:ascii="Arial" w:hAnsi="Arial" w:cs="Arial"/>
            <w:lang w:val="en-US"/>
          </w:rPr>
          <w:t xml:space="preserve">nflammatory </w:t>
        </w:r>
        <w:r w:rsidR="00625D61">
          <w:rPr>
            <w:rStyle w:val="Hyperlink"/>
            <w:rFonts w:ascii="Arial" w:hAnsi="Arial" w:cs="Arial"/>
            <w:lang w:val="en-US"/>
          </w:rPr>
          <w:t>i</w:t>
        </w:r>
        <w:r w:rsidR="00B26C9F" w:rsidRPr="00010350">
          <w:rPr>
            <w:rStyle w:val="Hyperlink"/>
            <w:rFonts w:ascii="Arial" w:hAnsi="Arial" w:cs="Arial"/>
            <w:lang w:val="en-US"/>
          </w:rPr>
          <w:t xml:space="preserve">ntervention </w:t>
        </w:r>
        <w:r w:rsidR="00625D61">
          <w:rPr>
            <w:rStyle w:val="Hyperlink"/>
            <w:rFonts w:ascii="Arial" w:hAnsi="Arial" w:cs="Arial"/>
            <w:lang w:val="en-US"/>
          </w:rPr>
          <w:t>in</w:t>
        </w:r>
        <w:r w:rsidR="00B26C9F" w:rsidRPr="00010350">
          <w:rPr>
            <w:rStyle w:val="Hyperlink"/>
            <w:rFonts w:ascii="Arial" w:hAnsi="Arial" w:cs="Arial"/>
            <w:lang w:val="en-US"/>
          </w:rPr>
          <w:t xml:space="preserve"> </w:t>
        </w:r>
        <w:r w:rsidR="00B05B61" w:rsidRPr="00010350">
          <w:rPr>
            <w:rStyle w:val="Hyperlink"/>
            <w:rFonts w:ascii="Arial" w:hAnsi="Arial" w:cs="Arial"/>
            <w:lang w:val="en-US"/>
          </w:rPr>
          <w:t>PMR and GCA,”</w:t>
        </w:r>
      </w:hyperlink>
      <w:r w:rsidR="00B05B61" w:rsidRPr="00010350">
        <w:rPr>
          <w:rFonts w:ascii="Arial" w:hAnsi="Arial" w:cs="Arial"/>
          <w:lang w:val="en-US"/>
        </w:rPr>
        <w:t xml:space="preserve"> </w:t>
      </w:r>
      <w:r w:rsidR="00625D61">
        <w:rPr>
          <w:rFonts w:ascii="Arial" w:hAnsi="Arial" w:cs="Arial"/>
          <w:lang w:val="en-US"/>
        </w:rPr>
        <w:t xml:space="preserve">received </w:t>
      </w:r>
      <w:r w:rsidR="00B05B61" w:rsidRPr="00010350">
        <w:rPr>
          <w:rFonts w:ascii="Arial" w:hAnsi="Arial" w:cs="Arial"/>
          <w:color w:val="000000"/>
          <w:lang w:val="en-US"/>
        </w:rPr>
        <w:t>fund</w:t>
      </w:r>
      <w:r w:rsidR="00625D61">
        <w:rPr>
          <w:rFonts w:ascii="Arial" w:hAnsi="Arial" w:cs="Arial"/>
          <w:color w:val="000000"/>
          <w:lang w:val="en-US"/>
        </w:rPr>
        <w:t>ing from</w:t>
      </w:r>
      <w:r w:rsidR="00B05B61" w:rsidRPr="00010350">
        <w:rPr>
          <w:rFonts w:ascii="Arial" w:hAnsi="Arial" w:cs="Arial"/>
          <w:color w:val="000000"/>
          <w:lang w:val="en-US"/>
        </w:rPr>
        <w:t xml:space="preserve"> the Austrian Science Fund (FWF). </w:t>
      </w:r>
    </w:p>
    <w:p w14:paraId="4D813E3C" w14:textId="77777777" w:rsidR="00B05B61" w:rsidRPr="00010350" w:rsidRDefault="00B05B61" w:rsidP="00ED3BBC">
      <w:pPr>
        <w:spacing w:line="276" w:lineRule="auto"/>
        <w:rPr>
          <w:rFonts w:ascii="Arial" w:hAnsi="Arial" w:cs="Arial"/>
          <w:b/>
          <w:lang w:val="en-US"/>
        </w:rPr>
      </w:pPr>
    </w:p>
    <w:p w14:paraId="723D50D2" w14:textId="77777777" w:rsidR="00B05B61" w:rsidRPr="00010350" w:rsidRDefault="00B05B61" w:rsidP="00ED3BBC">
      <w:pPr>
        <w:spacing w:line="276" w:lineRule="auto"/>
        <w:rPr>
          <w:rFonts w:ascii="Arial" w:hAnsi="Arial" w:cs="Arial"/>
          <w:b/>
          <w:lang w:val="en-US"/>
        </w:rPr>
      </w:pPr>
      <w:r w:rsidRPr="00010350">
        <w:rPr>
          <w:rFonts w:ascii="Arial" w:hAnsi="Arial" w:cs="Arial"/>
          <w:b/>
          <w:lang w:val="en-US"/>
        </w:rPr>
        <w:t>Publications</w:t>
      </w:r>
    </w:p>
    <w:p w14:paraId="436F0857" w14:textId="77777777" w:rsidR="00827873" w:rsidRPr="00190B77" w:rsidRDefault="00110CFC" w:rsidP="00827873">
      <w:pPr>
        <w:spacing w:line="276" w:lineRule="auto"/>
        <w:rPr>
          <w:rFonts w:ascii="Arial" w:hAnsi="Arial" w:cs="Arial"/>
          <w:sz w:val="20"/>
          <w:szCs w:val="20"/>
          <w:lang w:val="en-US"/>
        </w:rPr>
      </w:pPr>
      <w:hyperlink r:id="rId11" w:history="1">
        <w:r w:rsidR="00827873" w:rsidRPr="00190B77">
          <w:rPr>
            <w:rStyle w:val="Hyperlink"/>
            <w:rFonts w:ascii="Arial" w:hAnsi="Arial" w:cs="Arial"/>
            <w:sz w:val="20"/>
            <w:szCs w:val="20"/>
            <w:lang w:val="en-GB"/>
          </w:rPr>
          <w:t>Plasma proteome differences between giant cell arteritis and polymyalgia rheumatica: a pilot study</w:t>
        </w:r>
      </w:hyperlink>
      <w:r w:rsidR="00827873" w:rsidRPr="00190B77">
        <w:rPr>
          <w:rFonts w:ascii="Arial" w:hAnsi="Arial" w:cs="Arial"/>
          <w:sz w:val="20"/>
          <w:szCs w:val="20"/>
          <w:lang w:val="en-GB"/>
        </w:rPr>
        <w:t xml:space="preserve">, in: </w:t>
      </w:r>
      <w:r w:rsidR="00827873" w:rsidRPr="00190B77">
        <w:rPr>
          <w:rFonts w:ascii="Arial" w:hAnsi="Arial" w:cs="Arial"/>
          <w:sz w:val="20"/>
          <w:szCs w:val="20"/>
          <w:lang w:val="en-US"/>
        </w:rPr>
        <w:t>Arthritis Research Therapy 2026</w:t>
      </w:r>
    </w:p>
    <w:p w14:paraId="159FD065" w14:textId="77777777" w:rsidR="00827873" w:rsidRPr="00190B77" w:rsidRDefault="00110CFC" w:rsidP="00827873">
      <w:pPr>
        <w:spacing w:line="276" w:lineRule="auto"/>
        <w:rPr>
          <w:rFonts w:ascii="Arial" w:hAnsi="Arial" w:cs="Arial"/>
          <w:sz w:val="20"/>
          <w:szCs w:val="20"/>
          <w:lang w:val="en-US"/>
        </w:rPr>
      </w:pPr>
      <w:hyperlink r:id="rId12" w:history="1">
        <w:r w:rsidR="00827873" w:rsidRPr="00190B77">
          <w:rPr>
            <w:rStyle w:val="Hyperlink"/>
            <w:rFonts w:ascii="Arial" w:hAnsi="Arial" w:cs="Arial"/>
            <w:sz w:val="20"/>
            <w:szCs w:val="20"/>
            <w:lang w:val="en-GB"/>
          </w:rPr>
          <w:t>Toll-like Receptor 8 (TLR8) Is Expressed in Mouse Hippocampal Neurons and Modulates Neuronal Excitability</w:t>
        </w:r>
      </w:hyperlink>
      <w:r w:rsidR="00827873" w:rsidRPr="00190B77">
        <w:rPr>
          <w:rFonts w:ascii="Arial" w:hAnsi="Arial" w:cs="Arial"/>
          <w:sz w:val="20"/>
          <w:szCs w:val="20"/>
          <w:lang w:val="en-GB"/>
        </w:rPr>
        <w:t>, in: International Journal of Molecular Sciences 2026</w:t>
      </w:r>
    </w:p>
    <w:p w14:paraId="2F0A5D8D" w14:textId="77777777" w:rsidR="00827873" w:rsidRPr="00190B77" w:rsidRDefault="00110CFC" w:rsidP="00827873">
      <w:pPr>
        <w:spacing w:line="276" w:lineRule="auto"/>
        <w:rPr>
          <w:rStyle w:val="Hyperlink"/>
          <w:rFonts w:ascii="Arial" w:hAnsi="Arial" w:cs="Arial"/>
          <w:sz w:val="20"/>
          <w:szCs w:val="20"/>
          <w:lang w:val="en-GB"/>
        </w:rPr>
      </w:pPr>
      <w:hyperlink r:id="rId13" w:history="1">
        <w:r w:rsidR="00827873" w:rsidRPr="00190B77">
          <w:rPr>
            <w:rStyle w:val="Hyperlink"/>
            <w:rFonts w:ascii="Arial" w:hAnsi="Arial" w:cs="Arial"/>
            <w:sz w:val="20"/>
            <w:szCs w:val="20"/>
            <w:lang w:val="en-GB"/>
          </w:rPr>
          <w:t>Can Phagocytosis, Neutrophil Extracellular Traps, and IFN-α Production in Systemic Lupus Erythematosus Be Simultaneously Modulated? A Pharmacological Perspective</w:t>
        </w:r>
      </w:hyperlink>
      <w:r w:rsidR="00827873" w:rsidRPr="00190B77">
        <w:rPr>
          <w:rFonts w:ascii="Arial" w:hAnsi="Arial" w:cs="Arial"/>
          <w:sz w:val="20"/>
          <w:szCs w:val="20"/>
          <w:lang w:val="en-GB"/>
        </w:rPr>
        <w:t>, in: International Journal of Molecular Sciences 2026</w:t>
      </w:r>
    </w:p>
    <w:p w14:paraId="3BB3C02A" w14:textId="77777777" w:rsidR="00827873" w:rsidRDefault="00110CFC" w:rsidP="00827873">
      <w:pPr>
        <w:spacing w:line="276" w:lineRule="auto"/>
        <w:rPr>
          <w:rFonts w:ascii="Arial" w:hAnsi="Arial" w:cs="Arial"/>
          <w:sz w:val="20"/>
          <w:szCs w:val="20"/>
          <w:lang w:val="en-GB"/>
        </w:rPr>
      </w:pPr>
      <w:hyperlink r:id="rId14" w:history="1">
        <w:r w:rsidR="00827873" w:rsidRPr="00190B77">
          <w:rPr>
            <w:rStyle w:val="Hyperlink"/>
            <w:rFonts w:ascii="Arial" w:hAnsi="Arial" w:cs="Arial"/>
            <w:sz w:val="20"/>
            <w:szCs w:val="20"/>
            <w:lang w:val="en-GB"/>
          </w:rPr>
          <w:t>Increased expression of Toll-like receptors and associated alarmins in temporal arteries of patients with giant cell arteritis</w:t>
        </w:r>
      </w:hyperlink>
      <w:r w:rsidR="00827873" w:rsidRPr="00190B77">
        <w:rPr>
          <w:rFonts w:ascii="Arial" w:hAnsi="Arial" w:cs="Arial"/>
          <w:sz w:val="20"/>
          <w:szCs w:val="20"/>
          <w:lang w:val="en-GB"/>
        </w:rPr>
        <w:t>, in: Molecular Medicine 2025</w:t>
      </w:r>
    </w:p>
    <w:p w14:paraId="1AA1F52B" w14:textId="77777777" w:rsidR="00795141" w:rsidRPr="00827873" w:rsidRDefault="00795141" w:rsidP="00ED3BBC">
      <w:pPr>
        <w:spacing w:line="276" w:lineRule="auto"/>
        <w:rPr>
          <w:rFonts w:ascii="Arial" w:hAnsi="Arial" w:cs="Arial"/>
          <w:lang w:val="en-GB"/>
        </w:rPr>
      </w:pPr>
    </w:p>
    <w:p w14:paraId="43DF71BA" w14:textId="486E4385" w:rsidR="00827873" w:rsidRPr="00ED2A60" w:rsidRDefault="00827873" w:rsidP="00827873">
      <w:pPr>
        <w:ind w:right="48"/>
        <w:rPr>
          <w:rFonts w:ascii="Arial" w:hAnsi="Arial" w:cs="Arial"/>
          <w:sz w:val="20"/>
          <w:szCs w:val="20"/>
          <w:lang w:val="en-US"/>
        </w:rPr>
      </w:pPr>
      <w:r w:rsidRPr="00805D8C">
        <w:rPr>
          <w:rFonts w:ascii="Arial" w:hAnsi="Arial" w:cs="Arial"/>
          <w:sz w:val="20"/>
          <w:szCs w:val="20"/>
          <w:lang w:val="en-US"/>
        </w:rPr>
        <w:t xml:space="preserve">Image and text will be available as of Monday, </w:t>
      </w:r>
      <w:r>
        <w:rPr>
          <w:rFonts w:ascii="Arial" w:hAnsi="Arial" w:cs="Arial"/>
          <w:sz w:val="20"/>
          <w:szCs w:val="20"/>
          <w:lang w:val="en-US"/>
        </w:rPr>
        <w:t>12</w:t>
      </w:r>
      <w:r w:rsidRPr="004B2FB2">
        <w:rPr>
          <w:rFonts w:ascii="Arial" w:hAnsi="Arial" w:cs="Arial"/>
          <w:sz w:val="20"/>
          <w:szCs w:val="20"/>
          <w:vertAlign w:val="superscript"/>
          <w:lang w:val="en-US"/>
        </w:rPr>
        <w:t>th</w:t>
      </w:r>
      <w:r>
        <w:rPr>
          <w:rFonts w:ascii="Arial" w:hAnsi="Arial" w:cs="Arial"/>
          <w:sz w:val="20"/>
          <w:szCs w:val="20"/>
          <w:lang w:val="en-US"/>
        </w:rPr>
        <w:t xml:space="preserve"> October</w:t>
      </w:r>
      <w:r w:rsidRPr="00805D8C">
        <w:rPr>
          <w:rFonts w:ascii="Arial" w:hAnsi="Arial" w:cs="Arial"/>
          <w:sz w:val="20"/>
          <w:szCs w:val="20"/>
          <w:lang w:val="en-US"/>
        </w:rPr>
        <w:t xml:space="preserve"> 2026, from 7.30 am CET at</w:t>
      </w:r>
      <w:r>
        <w:rPr>
          <w:rFonts w:ascii="Arial" w:hAnsi="Arial" w:cs="Arial"/>
          <w:sz w:val="20"/>
          <w:szCs w:val="20"/>
          <w:lang w:val="en-US"/>
        </w:rPr>
        <w:t>:</w:t>
      </w:r>
      <w:r w:rsidRPr="00827873">
        <w:rPr>
          <w:lang w:val="en-US"/>
        </w:rPr>
        <w:t xml:space="preserve"> </w:t>
      </w:r>
      <w:hyperlink r:id="rId15" w:history="1">
        <w:r w:rsidRPr="00827873">
          <w:rPr>
            <w:rStyle w:val="Hyperlink"/>
            <w:rFonts w:ascii="Arial" w:hAnsi="Arial" w:cs="Arial"/>
            <w:b/>
            <w:bCs/>
            <w:sz w:val="20"/>
            <w:szCs w:val="20"/>
            <w:lang w:val="en-US"/>
          </w:rPr>
          <w:t>https://scilog.fwf.ac.at</w:t>
        </w:r>
      </w:hyperlink>
      <w:r>
        <w:rPr>
          <w:lang w:val="en-US"/>
        </w:rPr>
        <w:t xml:space="preserve"> </w:t>
      </w:r>
      <w:r>
        <w:rPr>
          <w:rFonts w:ascii="Arial" w:hAnsi="Arial" w:cs="Arial"/>
          <w:sz w:val="20"/>
          <w:szCs w:val="20"/>
          <w:lang w:val="en-US"/>
        </w:rPr>
        <w:t xml:space="preserve"> </w:t>
      </w:r>
      <w:r>
        <w:rPr>
          <w:lang w:val="en-US"/>
        </w:rPr>
        <w:t xml:space="preserve"> </w:t>
      </w:r>
    </w:p>
    <w:tbl>
      <w:tblPr>
        <w:tblW w:w="1204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57"/>
        <w:gridCol w:w="3544"/>
        <w:gridCol w:w="3047"/>
      </w:tblGrid>
      <w:tr w:rsidR="00827873" w:rsidRPr="00F326CA" w14:paraId="6AEAA365" w14:textId="77777777" w:rsidTr="00212FEC">
        <w:tc>
          <w:tcPr>
            <w:tcW w:w="5457" w:type="dxa"/>
          </w:tcPr>
          <w:p w14:paraId="6E1AC9A1" w14:textId="77777777" w:rsidR="00827873" w:rsidRPr="006B3E10" w:rsidRDefault="00827873" w:rsidP="00212FEC">
            <w:pPr>
              <w:ind w:left="709" w:right="48"/>
              <w:rPr>
                <w:rFonts w:ascii="Arial" w:hAnsi="Arial"/>
                <w:b/>
                <w:bCs/>
                <w:sz w:val="18"/>
                <w:szCs w:val="18"/>
                <w:lang w:val="en-US"/>
              </w:rPr>
            </w:pPr>
          </w:p>
          <w:p w14:paraId="087A7DED" w14:textId="53EB30DE" w:rsidR="00827873" w:rsidRPr="00827873" w:rsidRDefault="00827873" w:rsidP="00827873">
            <w:pPr>
              <w:ind w:left="426" w:right="48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96AE9">
              <w:rPr>
                <w:rFonts w:ascii="Arial" w:hAnsi="Arial"/>
                <w:b/>
                <w:bCs/>
                <w:sz w:val="18"/>
                <w:szCs w:val="18"/>
                <w:lang w:val="en-US"/>
              </w:rPr>
              <w:t>Scientific Contact</w:t>
            </w:r>
            <w:r w:rsidRPr="00B96AE9">
              <w:rPr>
                <w:rFonts w:ascii="Arial" w:hAnsi="Arial"/>
                <w:b/>
                <w:bCs/>
                <w:sz w:val="18"/>
                <w:szCs w:val="18"/>
                <w:lang w:val="en-US"/>
              </w:rPr>
              <w:br/>
            </w:r>
            <w:r w:rsidRPr="00827873">
              <w:rPr>
                <w:rFonts w:ascii="Arial" w:hAnsi="Arial" w:cs="Arial"/>
                <w:sz w:val="18"/>
                <w:szCs w:val="18"/>
                <w:lang w:val="en-US"/>
              </w:rPr>
              <w:t>Priv.-Doz. Dr. Sandra Santos-Sierra</w:t>
            </w:r>
            <w:r w:rsidRPr="00827873">
              <w:rPr>
                <w:rFonts w:ascii="Arial" w:hAnsi="Arial" w:cs="Arial"/>
                <w:sz w:val="18"/>
                <w:szCs w:val="18"/>
                <w:lang w:val="en-US"/>
              </w:rPr>
              <w:br/>
              <w:t>Institute of Pharmacology</w:t>
            </w:r>
            <w:r w:rsidRPr="00827873">
              <w:rPr>
                <w:rFonts w:ascii="Arial" w:hAnsi="Arial" w:cs="Arial"/>
                <w:sz w:val="18"/>
                <w:szCs w:val="18"/>
                <w:lang w:val="en-US"/>
              </w:rPr>
              <w:br/>
              <w:t>Medical University of Innsbruck</w:t>
            </w:r>
            <w:r w:rsidRPr="00827873">
              <w:rPr>
                <w:rFonts w:ascii="Arial" w:hAnsi="Arial" w:cs="Arial"/>
                <w:sz w:val="18"/>
                <w:szCs w:val="18"/>
                <w:lang w:val="en-US"/>
              </w:rPr>
              <w:br/>
              <w:t>Peter-Mayr-</w:t>
            </w:r>
            <w:proofErr w:type="spellStart"/>
            <w:r w:rsidRPr="00827873">
              <w:rPr>
                <w:rFonts w:ascii="Arial" w:hAnsi="Arial" w:cs="Arial"/>
                <w:sz w:val="18"/>
                <w:szCs w:val="18"/>
                <w:lang w:val="en-US"/>
              </w:rPr>
              <w:t>Straße</w:t>
            </w:r>
            <w:proofErr w:type="spellEnd"/>
            <w:r w:rsidRPr="00827873">
              <w:rPr>
                <w:rFonts w:ascii="Arial" w:hAnsi="Arial" w:cs="Arial"/>
                <w:sz w:val="18"/>
                <w:szCs w:val="18"/>
                <w:lang w:val="en-US"/>
              </w:rPr>
              <w:t xml:space="preserve"> 1</w:t>
            </w:r>
            <w:r w:rsidRPr="00827873">
              <w:rPr>
                <w:rFonts w:ascii="Arial" w:hAnsi="Arial" w:cs="Arial"/>
                <w:sz w:val="18"/>
                <w:szCs w:val="18"/>
                <w:lang w:val="en-US"/>
              </w:rPr>
              <w:br/>
              <w:t>6020 Innsbruck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, Austria</w:t>
            </w:r>
            <w:r w:rsidRPr="00827873">
              <w:rPr>
                <w:rFonts w:ascii="Arial" w:hAnsi="Arial" w:cs="Arial"/>
                <w:sz w:val="18"/>
                <w:szCs w:val="18"/>
                <w:lang w:val="en-US"/>
              </w:rPr>
              <w:br/>
              <w:t>T +43 512 9003-70451</w:t>
            </w:r>
            <w:r w:rsidRPr="00827873">
              <w:rPr>
                <w:rFonts w:ascii="Arial" w:hAnsi="Arial" w:cs="Arial"/>
                <w:sz w:val="18"/>
                <w:szCs w:val="18"/>
                <w:lang w:val="en-US"/>
              </w:rPr>
              <w:br/>
            </w:r>
            <w:hyperlink r:id="rId16" w:history="1">
              <w:r w:rsidRPr="00827873">
                <w:rPr>
                  <w:rStyle w:val="Hyperlink"/>
                  <w:rFonts w:ascii="Arial" w:hAnsi="Arial" w:cs="Arial"/>
                  <w:color w:val="467886"/>
                  <w:sz w:val="18"/>
                  <w:szCs w:val="18"/>
                  <w:u w:color="000000"/>
                  <w:lang w:val="en-US"/>
                </w:rPr>
                <w:t>sandra.santos@i-med.ac.at</w:t>
              </w:r>
            </w:hyperlink>
            <w:r w:rsidRPr="00827873">
              <w:rPr>
                <w:rStyle w:val="Hyperlink"/>
                <w:rFonts w:ascii="Arial" w:hAnsi="Arial" w:cs="Arial"/>
                <w:color w:val="467886"/>
                <w:sz w:val="18"/>
                <w:szCs w:val="18"/>
                <w:u w:color="000000"/>
                <w:lang w:val="en-US"/>
              </w:rPr>
              <w:t xml:space="preserve">  </w:t>
            </w:r>
            <w:r w:rsidRPr="00827873">
              <w:rPr>
                <w:rStyle w:val="Hyperlink"/>
                <w:rFonts w:ascii="Arial" w:hAnsi="Arial" w:cs="Arial"/>
                <w:color w:val="467886"/>
                <w:sz w:val="18"/>
                <w:szCs w:val="18"/>
                <w:u w:color="000000"/>
                <w:lang w:val="en-US"/>
              </w:rPr>
              <w:br/>
            </w:r>
            <w:hyperlink r:id="rId17" w:history="1">
              <w:r w:rsidRPr="00827873">
                <w:rPr>
                  <w:rStyle w:val="Hyperlink"/>
                  <w:rFonts w:ascii="Arial" w:hAnsi="Arial" w:cs="Arial"/>
                  <w:color w:val="467886"/>
                  <w:sz w:val="18"/>
                  <w:szCs w:val="18"/>
                  <w:u w:color="000000"/>
                  <w:lang w:val="en-US"/>
                </w:rPr>
                <w:t>https://www.i-med.ac.at</w:t>
              </w:r>
            </w:hyperlink>
            <w:r w:rsidRPr="00827873">
              <w:rPr>
                <w:rStyle w:val="Hyperlink"/>
                <w:rFonts w:ascii="Arial" w:eastAsia="Cambria" w:hAnsi="Arial" w:cs="Arial"/>
                <w:color w:val="467886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3544" w:type="dxa"/>
          </w:tcPr>
          <w:p w14:paraId="5E3D934F" w14:textId="77777777" w:rsidR="00827873" w:rsidRPr="00827873" w:rsidRDefault="00827873" w:rsidP="00212FEC">
            <w:pPr>
              <w:ind w:left="567" w:right="48"/>
              <w:rPr>
                <w:rFonts w:ascii="Arial" w:hAnsi="Arial"/>
                <w:b/>
                <w:bCs/>
                <w:sz w:val="18"/>
                <w:szCs w:val="18"/>
                <w:lang w:val="en-US"/>
              </w:rPr>
            </w:pPr>
          </w:p>
          <w:p w14:paraId="7B492FF6" w14:textId="77777777" w:rsidR="00827873" w:rsidRPr="00805D8C" w:rsidRDefault="00827873" w:rsidP="00212FEC">
            <w:pPr>
              <w:ind w:right="48"/>
              <w:rPr>
                <w:rFonts w:ascii="Arial" w:hAnsi="Arial" w:cs="Arial"/>
                <w:b/>
                <w:bCs/>
                <w:sz w:val="18"/>
                <w:szCs w:val="18"/>
                <w:lang w:val="en-US" w:eastAsia="de-AT"/>
              </w:rPr>
            </w:pPr>
            <w:r w:rsidRPr="00805D8C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Austrian Science Fund FWF</w:t>
            </w:r>
            <w:r w:rsidRPr="00805D8C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br/>
            </w:r>
            <w:r w:rsidRPr="00805D8C">
              <w:rPr>
                <w:rFonts w:ascii="Arial" w:hAnsi="Arial" w:cs="Arial"/>
                <w:sz w:val="18"/>
                <w:szCs w:val="18"/>
                <w:lang w:val="en-US"/>
              </w:rPr>
              <w:t>Ingrid Ladner</w:t>
            </w:r>
            <w:r w:rsidRPr="00805D8C">
              <w:rPr>
                <w:rFonts w:ascii="Arial" w:hAnsi="Arial" w:cs="Arial"/>
                <w:sz w:val="18"/>
                <w:szCs w:val="18"/>
                <w:lang w:val="en-US"/>
              </w:rPr>
              <w:br/>
              <w:t>Editor scilog</w:t>
            </w:r>
            <w:r w:rsidRPr="00805D8C">
              <w:rPr>
                <w:rFonts w:ascii="Arial" w:hAnsi="Arial" w:cs="Arial"/>
                <w:sz w:val="18"/>
                <w:szCs w:val="18"/>
                <w:lang w:val="en-US"/>
              </w:rPr>
              <w:br/>
              <w:t xml:space="preserve">Georg-Coch-Platz 2 </w:t>
            </w:r>
            <w:r w:rsidRPr="00805D8C">
              <w:rPr>
                <w:rFonts w:ascii="Arial" w:hAnsi="Arial" w:cs="Arial"/>
                <w:sz w:val="18"/>
                <w:szCs w:val="18"/>
                <w:lang w:val="en-US"/>
              </w:rPr>
              <w:br/>
              <w:t>1010 Vienna, Austria</w:t>
            </w:r>
            <w:r w:rsidRPr="00805D8C">
              <w:rPr>
                <w:rFonts w:ascii="Arial" w:hAnsi="Arial" w:cs="Arial"/>
                <w:sz w:val="18"/>
                <w:szCs w:val="18"/>
                <w:lang w:val="en-US"/>
              </w:rPr>
              <w:br/>
              <w:t xml:space="preserve">T </w:t>
            </w:r>
            <w:r w:rsidRPr="00805D8C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+43 676 83487-8117</w:t>
            </w:r>
            <w:r w:rsidRPr="00805D8C">
              <w:rPr>
                <w:rFonts w:ascii="Arial" w:hAnsi="Arial" w:cs="Arial"/>
                <w:noProof/>
                <w:sz w:val="18"/>
                <w:szCs w:val="18"/>
                <w:lang w:val="en-US"/>
              </w:rPr>
              <w:br/>
            </w:r>
            <w:hyperlink r:id="rId18" w:history="1">
              <w:r w:rsidRPr="00F326CA">
                <w:rPr>
                  <w:rStyle w:val="Hyperlink"/>
                  <w:rFonts w:ascii="Arial" w:hAnsi="Arial" w:cs="Arial"/>
                  <w:color w:val="467886"/>
                  <w:sz w:val="18"/>
                  <w:szCs w:val="18"/>
                  <w:u w:color="000000"/>
                  <w:lang w:val="en-US"/>
                </w:rPr>
                <w:t>ingrid.ladner@fwf.ac.at</w:t>
              </w:r>
            </w:hyperlink>
            <w:r w:rsidRPr="00F326CA">
              <w:rPr>
                <w:rStyle w:val="Hyperlink"/>
                <w:rFonts w:ascii="Arial" w:hAnsi="Arial" w:cs="Arial"/>
                <w:color w:val="467886"/>
                <w:sz w:val="18"/>
                <w:szCs w:val="18"/>
                <w:u w:color="000000"/>
                <w:lang w:val="en-US"/>
              </w:rPr>
              <w:br/>
            </w:r>
            <w:hyperlink r:id="rId19" w:history="1">
              <w:r w:rsidRPr="00F326CA">
                <w:rPr>
                  <w:rStyle w:val="Hyperlink"/>
                  <w:rFonts w:ascii="Arial" w:hAnsi="Arial" w:cs="Arial"/>
                  <w:color w:val="467886"/>
                  <w:sz w:val="18"/>
                  <w:szCs w:val="18"/>
                  <w:u w:color="000000"/>
                  <w:lang w:val="en-US"/>
                </w:rPr>
                <w:t>https://scilog.fwf.ac.at</w:t>
              </w:r>
            </w:hyperlink>
            <w:r w:rsidRPr="00F326CA">
              <w:rPr>
                <w:rStyle w:val="Hyperlink"/>
                <w:rFonts w:ascii="Arial" w:hAnsi="Arial" w:cs="Arial"/>
                <w:color w:val="467886"/>
                <w:sz w:val="18"/>
                <w:szCs w:val="18"/>
                <w:u w:color="000000"/>
                <w:lang w:val="en-US"/>
              </w:rPr>
              <w:br/>
              <w:t xml:space="preserve">Follow us @ </w:t>
            </w:r>
            <w:hyperlink r:id="rId20" w:history="1">
              <w:r w:rsidRPr="00F326CA">
                <w:rPr>
                  <w:rStyle w:val="Hyperlink"/>
                  <w:rFonts w:ascii="Arial" w:hAnsi="Arial" w:cs="Arial"/>
                  <w:color w:val="467886"/>
                  <w:sz w:val="18"/>
                  <w:szCs w:val="18"/>
                  <w:u w:color="000000"/>
                  <w:lang w:val="en-US"/>
                </w:rPr>
                <w:t>Social Media</w:t>
              </w:r>
            </w:hyperlink>
          </w:p>
        </w:tc>
        <w:tc>
          <w:tcPr>
            <w:tcW w:w="3047" w:type="dxa"/>
          </w:tcPr>
          <w:p w14:paraId="41C1F0A5" w14:textId="77777777" w:rsidR="00827873" w:rsidRPr="005623DD" w:rsidRDefault="00827873" w:rsidP="00212FEC">
            <w:pPr>
              <w:ind w:right="48"/>
              <w:rPr>
                <w:sz w:val="18"/>
                <w:szCs w:val="18"/>
                <w:lang w:val="it-IT"/>
              </w:rPr>
            </w:pPr>
          </w:p>
          <w:p w14:paraId="4839C295" w14:textId="77777777" w:rsidR="00827873" w:rsidRPr="005623DD" w:rsidRDefault="00827873" w:rsidP="00212FEC">
            <w:pPr>
              <w:ind w:right="48"/>
              <w:rPr>
                <w:sz w:val="18"/>
                <w:szCs w:val="18"/>
                <w:lang w:val="it-IT" w:eastAsia="de-AT"/>
              </w:rPr>
            </w:pPr>
            <w:r w:rsidRPr="005623DD">
              <w:rPr>
                <w:sz w:val="18"/>
                <w:szCs w:val="18"/>
                <w:lang w:val="it-IT"/>
              </w:rPr>
              <w:t xml:space="preserve"> </w:t>
            </w:r>
          </w:p>
        </w:tc>
      </w:tr>
    </w:tbl>
    <w:p w14:paraId="57146123" w14:textId="77777777" w:rsidR="00827873" w:rsidRPr="00010350" w:rsidRDefault="00827873" w:rsidP="00ED3BBC">
      <w:pPr>
        <w:spacing w:line="276" w:lineRule="auto"/>
        <w:rPr>
          <w:rFonts w:ascii="Arial" w:hAnsi="Arial" w:cs="Arial"/>
          <w:lang w:val="en-US"/>
        </w:rPr>
      </w:pPr>
    </w:p>
    <w:sectPr w:rsidR="00827873" w:rsidRPr="00010350">
      <w:headerReference w:type="default" r:id="rId2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B8D828" w14:textId="77777777" w:rsidR="00827873" w:rsidRDefault="00827873" w:rsidP="00827873">
      <w:pPr>
        <w:spacing w:after="0" w:line="240" w:lineRule="auto"/>
      </w:pPr>
      <w:r>
        <w:separator/>
      </w:r>
    </w:p>
  </w:endnote>
  <w:endnote w:type="continuationSeparator" w:id="0">
    <w:p w14:paraId="015F1DC1" w14:textId="77777777" w:rsidR="00827873" w:rsidRDefault="00827873" w:rsidP="00827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2B8F6E" w14:textId="77777777" w:rsidR="00827873" w:rsidRDefault="00827873" w:rsidP="00827873">
      <w:pPr>
        <w:spacing w:after="0" w:line="240" w:lineRule="auto"/>
      </w:pPr>
      <w:r>
        <w:separator/>
      </w:r>
    </w:p>
  </w:footnote>
  <w:footnote w:type="continuationSeparator" w:id="0">
    <w:p w14:paraId="5D65468B" w14:textId="77777777" w:rsidR="00827873" w:rsidRDefault="00827873" w:rsidP="008278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53755" w14:textId="7ACE2A64" w:rsidR="00827873" w:rsidRDefault="00827873" w:rsidP="00827873">
    <w:pPr>
      <w:pStyle w:val="Kopfzeile"/>
      <w:tabs>
        <w:tab w:val="clear" w:pos="9072"/>
      </w:tabs>
      <w:ind w:right="-426"/>
      <w:jc w:val="right"/>
    </w:pPr>
    <w:r w:rsidRPr="004E7EE8">
      <w:rPr>
        <w:noProof/>
      </w:rPr>
      <w:drawing>
        <wp:inline distT="0" distB="0" distL="0" distR="0" wp14:anchorId="523D2966" wp14:editId="0F6A1DA0">
          <wp:extent cx="1571625" cy="238125"/>
          <wp:effectExtent l="0" t="0" r="9525" b="9525"/>
          <wp:docPr id="39" name="Grafik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238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074C6BB" w14:textId="77777777" w:rsidR="00827873" w:rsidRDefault="00827873" w:rsidP="00827873">
    <w:pPr>
      <w:pStyle w:val="Kopfzeile"/>
      <w:tabs>
        <w:tab w:val="clear" w:pos="9072"/>
      </w:tabs>
      <w:ind w:right="-426"/>
      <w:jc w:val="right"/>
    </w:pPr>
  </w:p>
  <w:p w14:paraId="271A69AC" w14:textId="77777777" w:rsidR="00827873" w:rsidRDefault="00827873" w:rsidP="00827873">
    <w:pPr>
      <w:pStyle w:val="Kopfzeile"/>
      <w:tabs>
        <w:tab w:val="clear" w:pos="9072"/>
      </w:tabs>
      <w:ind w:right="-426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5B61"/>
    <w:rsid w:val="00010350"/>
    <w:rsid w:val="00030DCE"/>
    <w:rsid w:val="00034941"/>
    <w:rsid w:val="0007581E"/>
    <w:rsid w:val="0009488B"/>
    <w:rsid w:val="000C7E2E"/>
    <w:rsid w:val="000F2E47"/>
    <w:rsid w:val="00110CFC"/>
    <w:rsid w:val="00114449"/>
    <w:rsid w:val="0015722A"/>
    <w:rsid w:val="00173C10"/>
    <w:rsid w:val="00182A4A"/>
    <w:rsid w:val="00185E15"/>
    <w:rsid w:val="001958A6"/>
    <w:rsid w:val="0021266A"/>
    <w:rsid w:val="00223100"/>
    <w:rsid w:val="00275885"/>
    <w:rsid w:val="002C659F"/>
    <w:rsid w:val="002E7D4A"/>
    <w:rsid w:val="00321B47"/>
    <w:rsid w:val="00367478"/>
    <w:rsid w:val="00446FE6"/>
    <w:rsid w:val="004E3E0E"/>
    <w:rsid w:val="004F5A8C"/>
    <w:rsid w:val="00521A66"/>
    <w:rsid w:val="00534ACF"/>
    <w:rsid w:val="00535A0D"/>
    <w:rsid w:val="00541D14"/>
    <w:rsid w:val="00551D3E"/>
    <w:rsid w:val="00561D56"/>
    <w:rsid w:val="005765F0"/>
    <w:rsid w:val="005A5AA8"/>
    <w:rsid w:val="005C6786"/>
    <w:rsid w:val="0060235D"/>
    <w:rsid w:val="00623A86"/>
    <w:rsid w:val="00625D61"/>
    <w:rsid w:val="00677054"/>
    <w:rsid w:val="00683486"/>
    <w:rsid w:val="006A6E2A"/>
    <w:rsid w:val="006B21D8"/>
    <w:rsid w:val="006D0F5F"/>
    <w:rsid w:val="006E796D"/>
    <w:rsid w:val="0074195B"/>
    <w:rsid w:val="00757100"/>
    <w:rsid w:val="00795141"/>
    <w:rsid w:val="00827873"/>
    <w:rsid w:val="00870A25"/>
    <w:rsid w:val="00950747"/>
    <w:rsid w:val="00957F76"/>
    <w:rsid w:val="00965E7F"/>
    <w:rsid w:val="009E74E5"/>
    <w:rsid w:val="00A00D2D"/>
    <w:rsid w:val="00A11151"/>
    <w:rsid w:val="00A122FC"/>
    <w:rsid w:val="00B01047"/>
    <w:rsid w:val="00B05B61"/>
    <w:rsid w:val="00B26C9F"/>
    <w:rsid w:val="00B65CEF"/>
    <w:rsid w:val="00B92B2A"/>
    <w:rsid w:val="00B94A51"/>
    <w:rsid w:val="00B97112"/>
    <w:rsid w:val="00BC24CE"/>
    <w:rsid w:val="00C361B3"/>
    <w:rsid w:val="00C60F6B"/>
    <w:rsid w:val="00C627DF"/>
    <w:rsid w:val="00D95337"/>
    <w:rsid w:val="00DF2ADE"/>
    <w:rsid w:val="00E6720C"/>
    <w:rsid w:val="00ED3BBC"/>
    <w:rsid w:val="00EF0A71"/>
    <w:rsid w:val="00F23FEC"/>
    <w:rsid w:val="00F326CA"/>
    <w:rsid w:val="00F649A5"/>
    <w:rsid w:val="00FA6D98"/>
    <w:rsid w:val="00FA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82CECE5"/>
  <w15:docId w15:val="{46CC2520-A250-423E-A6B4-E1FAB870F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05B61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B05B61"/>
    <w:rPr>
      <w:color w:val="0000FF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9E74E5"/>
    <w:rPr>
      <w:color w:val="954F72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6B21D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B21D8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B21D8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B21D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B21D8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6B21D8"/>
    <w:pPr>
      <w:spacing w:after="0" w:line="240" w:lineRule="auto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770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77054"/>
    <w:rPr>
      <w:rFonts w:ascii="Segoe UI" w:hAnsi="Segoe UI" w:cs="Segoe UI"/>
      <w:sz w:val="18"/>
      <w:szCs w:val="18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795141"/>
    <w:rPr>
      <w:color w:val="605E5C"/>
      <w:shd w:val="clear" w:color="auto" w:fill="E1DFDD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ED3BBC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8278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27873"/>
  </w:style>
  <w:style w:type="paragraph" w:styleId="Fuzeile">
    <w:name w:val="footer"/>
    <w:basedOn w:val="Standard"/>
    <w:link w:val="FuzeileZchn"/>
    <w:uiPriority w:val="99"/>
    <w:unhideWhenUsed/>
    <w:rsid w:val="008278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27873"/>
  </w:style>
  <w:style w:type="paragraph" w:styleId="NurText">
    <w:name w:val="Plain Text"/>
    <w:basedOn w:val="Standard"/>
    <w:link w:val="NurTextZchn"/>
    <w:uiPriority w:val="99"/>
    <w:unhideWhenUsed/>
    <w:qFormat/>
    <w:rsid w:val="00827873"/>
    <w:pPr>
      <w:spacing w:after="0" w:line="240" w:lineRule="auto"/>
    </w:pPr>
    <w:rPr>
      <w:rFonts w:ascii="Calibri" w:hAnsi="Calibri"/>
      <w:szCs w:val="21"/>
      <w:u w:color="000000"/>
      <w:lang w:val="de-DE"/>
    </w:rPr>
  </w:style>
  <w:style w:type="character" w:customStyle="1" w:styleId="NurTextZchn">
    <w:name w:val="Nur Text Zchn"/>
    <w:basedOn w:val="Absatz-Standardschriftart"/>
    <w:link w:val="NurText"/>
    <w:uiPriority w:val="99"/>
    <w:qFormat/>
    <w:rsid w:val="00827873"/>
    <w:rPr>
      <w:rFonts w:ascii="Calibri" w:hAnsi="Calibri"/>
      <w:szCs w:val="21"/>
      <w:u w:color="000000"/>
      <w:lang w:val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278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64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86/s13075-026-03852-4" TargetMode="External"/><Relationship Id="rId13" Type="http://schemas.openxmlformats.org/officeDocument/2006/relationships/hyperlink" Target="https://www.mdpi.com/1422-0067/27/2/956" TargetMode="External"/><Relationship Id="rId18" Type="http://schemas.openxmlformats.org/officeDocument/2006/relationships/hyperlink" Target="mailto:ingrid.ladner@fwf.ac.at" TargetMode="External"/><Relationship Id="rId3" Type="http://schemas.openxmlformats.org/officeDocument/2006/relationships/webSettings" Target="webSettings.xml"/><Relationship Id="rId21" Type="http://schemas.openxmlformats.org/officeDocument/2006/relationships/header" Target="header1.xml"/><Relationship Id="rId7" Type="http://schemas.openxmlformats.org/officeDocument/2006/relationships/hyperlink" Target="https://doi.org/10.1186/s10020-025-01390-4" TargetMode="External"/><Relationship Id="rId12" Type="http://schemas.openxmlformats.org/officeDocument/2006/relationships/hyperlink" Target="https://www.mdpi.com/1422-0067/27/14/6232" TargetMode="External"/><Relationship Id="rId17" Type="http://schemas.openxmlformats.org/officeDocument/2006/relationships/hyperlink" Target="https://www.i-med.ac.at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sandra.santos@i-med.ac.at" TargetMode="External"/><Relationship Id="rId20" Type="http://schemas.openxmlformats.org/officeDocument/2006/relationships/hyperlink" Target="https://www.fwf.ac.at/social-media-directory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fwf.ac.at/en/research-radar/10.55776/P35219" TargetMode="External"/><Relationship Id="rId11" Type="http://schemas.openxmlformats.org/officeDocument/2006/relationships/hyperlink" Target="https://doi.org/10.1186/s13075-026-03852-4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scilog.fwf.ac.at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fwf.ac.at/en/research-radar/10.55776/P35219" TargetMode="External"/><Relationship Id="rId19" Type="http://schemas.openxmlformats.org/officeDocument/2006/relationships/hyperlink" Target="https://scilog.fwf.ac.at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i-med.ac.at/de/ibp/santos_sierra/" TargetMode="External"/><Relationship Id="rId14" Type="http://schemas.openxmlformats.org/officeDocument/2006/relationships/hyperlink" Target="https://link.springer.com/article/10.1186/s10020-025-01390-4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F45930A-89F3-9F4D-95B3-4A58E7057DD7}">
  <we:reference id="wa200002017" version="1.5.1.0" store="de-DE" storeType="OMEX"/>
  <we:alternateReferences>
    <we:reference id="WA200002017" version="1.5.1.0" store="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1318</Words>
  <Characters>8308</Characters>
  <Application>Microsoft Office Word</Application>
  <DocSecurity>0</DocSecurity>
  <Lines>69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Microsoft-Konto</dc:creator>
  <cp:keywords>, docId:0F35C89820C65265819F431AF35E3AED</cp:keywords>
  <cp:lastModifiedBy>Ladner, Ingrid</cp:lastModifiedBy>
  <cp:revision>6</cp:revision>
  <cp:lastPrinted>2026-09-28T09:03:00Z</cp:lastPrinted>
  <dcterms:created xsi:type="dcterms:W3CDTF">2026-10-02T09:08:00Z</dcterms:created>
  <dcterms:modified xsi:type="dcterms:W3CDTF">2026-10-06T12:25:00Z</dcterms:modified>
</cp:coreProperties>
</file>